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10.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( 2026-10So-A )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Komm her, freu dich mit uns, tritt ein GL 148,1-3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 Hilfe ist im Namen des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Der Himmel und Erde erschaffen hat.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Herzlich willkommen zu unserem Sonntagsgottesdienst. Wie sind Sie, wie seid ihr da heute Morgen (bzw. Abend)? – Kurze Pause – So, wie wir da sind, ist es richtig. Alles, was wir mitbringen, darf da sein – was uns freut und was uns das Leben schwer macht. So, wie wir da sind, feiern wir miteinander, weil Jesus gerne bei uns 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Nicht so sehr, ob wir alles richtig machen ist ihm wichtig, sondern dass wir seine Einladung hören und ihr folgen: „Komm mit mir! Ich habe etwas Gutes für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bist gekommen zu heilen, was verwundet ist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gehst den Verlorenen nach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feierst mit denen, die sonst zu kurz kommen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 Sohn war mit den Sündern und den Ausgestoßenen zusammen;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hat gelebt, was es heißt, barmherzig zu sein.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Vertrauen auf ihn bitten wir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Nimm auch uns an, wie wir sind,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lass uns wachsen am Bild deines Sohnes,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unseres Herrn Jesus Christus, der in der Einheit des Heiligen Geistes mit dir lebt und wirkt in alle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Prophet Hosea erinnert das Volk im 8. Jahrhundert vor Christus immer wieder daran, dass fromme Reden und Riten allein nichts ändern, wenn die Taten fehlen. Er zitiert hier zunächst das beschwichtigende Bußgebet der Gemeinde, und lässt dann Gott diese leeren Worte kritisieren.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Hosea.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Hos 6,3-6 (Schott-Messbuch für die Sonn- und Festtage, Lesejahr A, Seite 494f.).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Psalmverse (Schott-Messbuch für die Sonn- und Festtage, Lesejahr A, Seite 495f.) vom Ambo aus vor. Dazwischen (nach jedem zweiten Psalmvers) bzw. am Ende wiederholt die Gemeinde den Kehrvers.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Biete deine Macht auf, Herr, unser Gott GL 48,1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7-8.12-13.14-15 aus Psalm 50</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Biete deine Macht auf, Herr, unser Gott GL 48,1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oder</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 Hirt ist Gott der Herr GL 421,1-2</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Abraham kannte noch nicht das Religionsgesetz des Mose, das lange nach ihm festgelegt wurde. Aber er vertraut Gott und seinen Verheißungen ganz und gar. Deshalb stellt ihn Paulus als Vorbild für alle hin. Nicht wer das Gesetz erfüllt, wird gerecht gemacht, das heißt von Gott angenommen, sondern wer glaubt und vertraut.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des Apostels Paulus an die Gemeinde in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4,18-25 (Schott-Messbuch für die Sonn- und Festtage, Lesejahr A,</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Seite 496f.).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Ruhm und Preis und Ehre GL 176,4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hat mich gesandt, den Armen die Frohe Botschaft zu bringen und den Gefangenen die Freiheit zu verkünden.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Ruhm und Preis und Ehre GL 176,4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9,9-13 (Schott-Messbuch für die Sonn- und Festtage, Lesejahr A, Seite 497f.).</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Ruf kann an dieser Stelle wiederholt werden.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Szene, die wir eben im Evangelium gehört haben, kann man sich gut ausmalen, fast wie in einem Film: Jesus und seine Jünger sind zu Gast in einem Haus, wahrscheinlich bei Matthäus, der eben von Jesus von seiner Arbeitsstelle, der Zollstation weggeholt wurde. Sie liegen um niedrige Tische auf dem Boden, wie es damals üblich war, gestützt auf Kissen und Polster. Es gibt gut zu essen und zu trinken. Jesus konnte durchaus genießen, wie wir an anderer Stelle hören, als ihm vorgeworfen wird, er sei ein „Fresser und Weinsäufer“. Die Gesellschaft war eher eine zwielichtige. Höchstwahrscheinlich nur Männer, „Zöllner und Sünder“, heißt es. Zöllner galten damals als Diebe und Räuber, als Gesindel, weil sie im Auftrag der römischen Besatzungsmacht die Zollgebühren an Straßen, Brücken oder Häfen kassierten oder auf eigene Rechnung als Kleinunternehmer arbeiteten. Immer ging ihnen der Ruf voraus, mehr als nötig abzukassieren und die eigene Tasche zu füllen. Die Sünder, die mit ihnen genannt werden, gehörten aus vielerlei anderen Gründen nicht zu den anständigen Leuten. Sie galten als unrein, konnten so nicht zur Gemeinde gehören, standen draußen. Die anderen, die Frommen, hier die Pharisäer, definierten, wer drinnen und wer draußen ist, wer dazugehört und wer nicht. Nicht immer war es eine große Schuld, die zum Ausschluss führte. Vielleicht ist den Zöllnern und Sündern nur manches nicht gelungen, was nötig gewesen wäre, um dazuzugehören: Es fand sich kein passender Beruf, also übernahm man die ungeliebte Zollstation oder einen anderen Broterwerb, der unrein macht. Andere kamen mit den „Lücken in ihrem Lebenslauf“ nicht zurecht, mit den Umwegen, Irrwegen und Sackgassen in ihrem Leben, bis sie einfach nicht mehr den Erwartungen der Frommen entsprechen konnten. Sie passten nicht mehr, sie konnten es nicht recht machen.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Eine solche bunte Truppe schart sich da um Jesus und seine Freunde, und – das ist besonders verwerflich – sie haben Spaß miteinander! Sie genießen die Zeit, die Gespräche, teilen Brot und Wein und noch viel mehr. Es geht ihnen richtig gut, besonders denen, die selten in einer solchen Runde beieinander sein können. Das muss die Frommen ärgern, die sich vorsichtshalber erst einmal an die Jünger wenden: „Wie kann euer Meister…!“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Damit sind die Gegensätze benannt, die uns auch in den anderen Lesungen heute begegnen: Bei Hosea die Gemeinde, die meint, mit ein paar Opfern und Gebeten Gott gnädig stimmen zu können, ohne dabei ihr ungerechtes Handeln zu ändern; im Paulusbrief das Vorbild Abraham, der auf Gott vertraut, komme, was wolle, ohne dass er überhaupt von einem Gesetz oder von Geboten weiß.</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Barmherzigkeit will ich, nicht Opfer“ zitiert Jesus den Propheten Hosea. Es hat keinen Wert, Gott gefallen zu wollen dadurch, dass ich die religiösen Vorschriften und Gebote äußerlich erfülle. Es geht nicht darum, alles recht zu machen und nicht anzuecken. Die Barmherzigkeit, die Jesus aufruft und selber lebt, ist mit dem Inneren verknüpft, mit dem Herz. Sie öffnet die Arme, geht auf den anderen zu und nimmt ihn so an, wie er nun eben ist, wie es ihm eben geht, mit seiner ganzen verqueren Geschichte und seinen ungelösten Fragen. Wenn jemand auf diese Weise barmherzig auf mich zugeht, dann kann ich mich selber sehen und annehmen, wie ich bin, wie es mir gerade geht. Ich kann mein Unvermögen, meine Angst, meine Grenzen aushalten, und muss sie nicht verstecken im Bemühen, es ja nur recht zu machen. Ich kann es mir gestatten, dass ich nicht so bin, wie ich gern wäre, dass ich meinen eigenen Ansprüchen nicht genüge und auch denen der anderen oft nicht. Ich kann zu mir stehen, wie es der Zöllner Zachäus getan hat, der auch von Jesus mit einem gemeinsamen Essen beglückt wurde: „Ja, ich habe zu viel kassiert, und ich werde es zurückgeben.“ Allein die offene, liebevolle Zuwendung Jesu schafft das, keine Bußpredigt und keine Vorhaltungen.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die Frommen, für die Pharisäer ist es eine bittere Lektion: Jesus ist nicht zu ihnen gekommen! Wollte er ihnen zeigen, dass er nichts anfangen kann mit Menschen, die sich selbst schon für gut und gerecht und fromm halten? Ganz sicher wollte er ein Zeichen setzen gegen die Ausgrenzung von Menschen, die es nicht geschafft haben in den Augen der Rechtschaffenen, die nicht in ihr Schema passen, und die deshalb auch nicht mehr an sich selber glauben können.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ist die Frohe Botschaft von heute: Gerade meine eigene Bedürftigkeit, mein eigenes Unvermögen ist der Ort, an dem ich Gott begegne. Zu den Kranken kommt Jesus und heilt. Die Sünder, die Mühseligen und Beladenen spricht er an. Gerade, wenn ich unter seinem barmherzigen Blick auch barmherzig mit mir selber sein kann und meinen ganzen Schlamassel annehmen kann, dann erfahre ich, dass Gott sagt „Komm mit, ich lade dich ein, ich habe was Gutes für dich!“ Dann muss ich niemandem mehr etwas vormachen. Dann muss ich nicht so tun, als wäre ich stark und hätte alles im Griff. Dann darf ich so, wie ich eben bin und wie es mir gerade geht, zusammensitzen mit Jesus und seinen Freunden von damals und heute, essen und trinken, erzählen, lachen und weinen und mich freuen. Denn ich gehöre dazu.</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wird das Predigtlied angestimmt.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Du rufst mich beim Namen, mit dir hab ich keine Angst!“ Wir wollen im Lied Antwort geben auf Gottes Wort.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Predigtlied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du bist mein Leben GL 456,1-4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schenkt uns sein Erbarmen und damit seinen Frieden, so können wir Frieden mit uns selbst und den Menschen um uns versuchen.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Geben wir einander ein Zeichen dieses Friedens.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untereinander reicht in der Kollekte auch über unsere Gemeinde hinaus.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Hymnus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wollen Gott loben und preisen und stehen dazu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die Sonn- und Festtage, Trier 2004, Seite 180f.; Kehrvers nach jedem zweiten Satz: Lobet den Herrn, preist seine Huld und Treue,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GL 401.Lobpreis und Dank für Gottes Wirken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Gottes Wirken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Hymnus: Allein Gott in der Höh sei Ehr GL 170</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ist gekommen, um zu heilen, die verwundet sind; um aufzurichten, die geknickt sind; um anzunehmen, die nicht dazugehören. – Zu ihm rufen wir angesichts der vielen Nöte: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auf alle, die nicht mehr weiterwissen, die mit ihrer Kraft am Ende sind.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auf alle Kirchen die sich nach Dir christlich nennen, auf ihren Glanz und ihr Elend.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auf die Verantwortlichen in Politik und Gesellschaft, in den Wirtschaftsunternehmen und in den Verwaltungen; auf die Zwänge, in denen sie handeln und auf ihre mutigen Initiativen.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auf alle, die für andere da sind, in den Krankenhäusern und Schulen, in Beratungsstellen und in Heimen.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auf alle, die nicht dazugehören aus welchen Gründen auch immer, die es nicht geschafft haben, die abgehängt sind.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Schau auch auf alle, die sich besser fühlen, sich abgrenzen und meinen, Gott für sich gepachtet zu haben. – Kurze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unseren ganz eigenen Anliegen bitten wir in der Stille.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Längere Stille – Christus, 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erhöre uns.</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Fassen wir unsere Bitten zusammen im Gebet, das uns Jesus zu beten gelehrt hat: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und die Entlassung.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du willst heil machen, was verwundet ist in uns selber, in unserer Gesellschaft. Dir und deiner Barmherzigkeit vertrauen wir, jetzt und alle Tage unseres Lebens, bis in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Wort Gottes gehört und gefeiert. Das eucharistische Brot, das uns jetzt geschenkt wird, verbindet uns mit der Eucharistiefeier, die wir zuletzt hier gefeiert haben. (Oder: die heute in unserer Nachbargemeinde gefeiert wurde.) In diesem Brot ist Christus unter uns, wie damals im Haus des Zöllners. In der Stille lassen wir uns darauf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kann verhaltenes Orgelspiel erklingen.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Stille Anbetung und Vaterunser</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beendet die Zeit der Stille mit dem Ruf: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 Herr und mein Gott, nimm alles von mir, was mich hindert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 Herr und mein Gott, gib alles mir, was mich fördert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Mein Herr und mein Gott, nimm mich mir, und gib mich ganz zu eigen dir.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Bitten wir um das tägliche Brot für Leib und Seele, wie Jesus uns zu beten gelehrt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Brot und erkennt in ihm Jesus, den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Lamm Gottes, das hinwegnimmt die Sünde der Welt.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kurzer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Bewahre uns, Gott, behüte uns, Gott GL 453,1-4</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ein guter Vater, eine sorgende Mutter bist du für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Dein Sohn hat uns das gezeigt in seiner Zuwendung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besonders zu denen, die sonst zu kurz kommen.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sagen dir Dank durch ihn, der bei uns ist im Wort,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Brot des Lebens und in den Begegnungen unseres Alltags.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Bleibe bei uns, heute und alle Tage unseres Lebens, bis in deine Ewigkeit.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(nach GL 452).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wird dich mit seiner Güte segnen,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zeige freundlich dir sein Angesicht,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wird mit Erbarmen dir begegnen,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leuchten soll dir seines Friedens Licht.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gewähre uns der barmherzige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Singet Lob und Preis.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Orgelspiel zum Auszug.</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Christoph Knecht</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