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pPr>
        <w:pStyle w:val="Textkrper"/>
        <w:spacing w:before="0" w:after="0"/>
        <w:ind w:left="0" w:right="0" w:firstLine="0"/>
        <w:jc w:val="left"/>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WORTGOTTESFEIER</w:t>
      </w:r>
    </w:p>
    <w:p>
      <w:pPr>
        <w:pStyle w:val="Textkrper"/>
        <w:spacing w:before="0" w:after="0"/>
        <w:ind w:left="0" w:right="0" w:firstLine="0"/>
        <w:jc w:val="left"/>
        <w:rPr>
          <w:rFonts w:ascii="Aller" w:hAnsi="Aller"/>
          <w:b/>
          <w:i w:val="0"/>
          <w:caps w:val="0"/>
          <w:smallCaps w:val="0"/>
          <w:strike w:val="0"/>
          <w:dstrike w:val="0"/>
          <w:sz w:val="52"/>
          <w:u w:val="none"/>
          <w:effect w:val="none"/>
        </w:rPr>
      </w:pPr>
      <w:r>
        <w:rPr>
          <w:rFonts w:ascii="Aller" w:hAnsi="Aller"/>
          <w:b/>
          <w:i w:val="0"/>
          <w:caps w:val="0"/>
          <w:smallCaps w:val="0"/>
          <w:strike w:val="0"/>
          <w:dstrike w:val="0"/>
          <w:sz w:val="52"/>
          <w:u w:val="none"/>
          <w:effect w:val="none"/>
        </w:rPr>
        <w:t>20. Sonntag im Jahreskreis</w:t>
      </w:r>
    </w:p>
    <w:p>
      <w:pPr>
        <w:pStyle w:val="Textkrper"/>
        <w:spacing w:before="0" w:after="0"/>
        <w:ind w:left="0" w:right="0" w:firstLine="0"/>
        <w:jc w:val="both"/>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 Lesejahr A \ ( 2026-20So-A )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Einzug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die Orgel spielt, ziehen Gottesdienstleiter/in (G), Ministranten und Minis-trantinnen (M), Lektoren und Lektorinnen (L), Kantor/in (K) und – falls benötigt – Kommunionhelfer/in (KH) in die Kirche ein, verneigen sich vor dem Altar (Kniebeuge nur, wenn der Tabernakel im Sichtfeld ist) und gehen zu ihren Plätzen; alle – auch die Gemeinde – stehen bis nach dem Eröffnungsgebet.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zur Eröffnung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Lied: Gott ruft sein Volk zusammen GL 477,1-3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Kreuzzeichen– Liturgischer Gruß</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eröffnet den Gottesdienst mit dem Kreuzzeichen, spricht die Einführung und betet Christusrufe und Eröffnungsgebet vor (nur wenn bei den Sitzen kein Mikrofon ist, spricht er/sie vom Ambo aus).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Namen des Vaters und des Sohnes und des Heiligen Geistes.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hat uns hier zusammengeführt. Ihn preisen wir in Ewigkeit.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Gemeinde,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was uns heute hier zusammenführt, ist nicht unser Alter, unser Geschlecht, das Aussehen oder die Nationalität. Es ist der Glaube an den dreifaltigen Gott, das Vertrauen auf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wenn wir hier in der Kirche auch eine überschaubare Anzahl sind, dürfen wir uns verbunden wissen mit vielen anderen, die – über den ganzen Globus verteilt – auch jetzt beisammen sind, um Gottes Wort zu hören, ihn zu loben und zu preisen und im gemeinsamen Singen und Beten Gemeinschaft und Stärkung zu erfahren. In diesem Sinn rufen wir: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Kurze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Christusrufe – Kyrie-Litanei</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Jesus Christus, allen Menschen bringst du Gottes Heil.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Kyrie eleison.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Kyrie eleison.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weist keinen zurück, der an dich glaubt. – Christe eleison.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Christe eleison.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schenkst uns Frieden und Gerechtigkeit. – Kyrie eleison.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Kyrie eleison.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oder</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zum Kyrie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Jesus, du bist unser Friede GL 163,6</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Eröffnungsgebet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 leitet ein und hält eine kurze Stille.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die Gemeinde sammeln sich zum 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dann breitet G die Arme aus und spricht: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Barmherziger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Glaube an dich verbindet Menschen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über Grenzen und Nationalitäten hinweg – auf ganz unterschiedliche Weise.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 uns sensibel sein im Umgang mit Fremdem.</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 uns auf das Verbindende achten und nicht das Trennende betonen.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Darum bitten wir im Heiligen Geist durch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unseren Bruder und Herrn.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4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erste Lesung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Einführungen werden von G vom Sitz und die Lesungen durch L vom Ambo aus dem Lektionar vorgetragen. Die Gemeinde setzt sich.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Schon im 6. Jahrhundert vor Christus beschäftigt den Propheten Jesaja die Frage, wer von denen, die dazugehören wollen, am Tempel willkommen ist. Seine Antwort im Namen Gottes: Mein Haus wird ein Haus des Gebetes für alle Völker genannt werden.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4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Erste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Buch Jesaja.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Jes 56,1.6-7 (Schott-Messbuch für Sonn- und Festtage, Lesejahr A, Seite 556; im Gottesdienst aus dem Lektionar vortragen). 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4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Antwortgesang – Psalm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Kehrvers wird von K gesungen. K singt oder liest die Psalmverse (GL 46,2 oder Schott-Messbuch für Sonn- und Festtage, Lesejahr A, Seite 556, vom Ambo aus vor. Am Anfang, nach jeweils zwei Versen und am Ende wiederholt die Gemeinde den Kehrvers.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Danket dem Herrn, denn ewig währt seine Liebe GL 444</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Verse aus dem Psalm 67 GL 46,2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Danket dem Herrn, denn ewig währt seine Liebe GL 444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Alle Menschen brauchen Gottes Erbarmen. Und Gottes Barmherzigkeit gilt allen Menschen. Das ist die große Erkenntnis, die Paulus – theologisch verklausuliert – weitergeben will.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Brief des Apostels Paulus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 Gemeinde in Rom</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Röm 11,13-15.29-32 (Schott-Messbuch für Sonn- und Festtage, Lesejahr A,</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Seite 557f., im Gottesdienst aus dem Lektionar vortragen).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Ruf vor dem 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auf. K singt das Halleluja, die Gemeinde wiederholt es.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Anschließend singt oder liest K den Vers. Am Ende wiederholt die Gemeinde das Halleluja.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GL 174,5</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verkündete das Evangelium vom Reich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heilte im Volk alle Krankheiten und Leiden.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GL 174,5</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das Halleluja gesungen wird, geht G zum Altar, verneigt sich, nimmt das Evangelienbuch und trägt es zum Ambo; zwei M mit Kerzen begleiten G. G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Aus dem Heiligen Evangelium nach Matthäus.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 auf Buch, Stirn, Mund und Brust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Ehre sei dir, o Herr.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Mt 15,21-28 (Schott-Messbuch für Sonn- und Festtage, Lesejahr A, Seite 558f., im Gottesdienst aus dem Lektionar vortragen). Der Vortrag des Evangeliums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Evangelium unseres Herrn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Lob sei dir, Christus.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M stellen die Leuchter wieder an den Altar, die Gemeinde setzt sich.</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Auslegung und Deutung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val="0"/>
          <w:caps w:val="0"/>
          <w:smallCaps w:val="0"/>
          <w:strike w:val="0"/>
          <w:dstrike w:val="0"/>
          <w:sz w:val="22"/>
          <w:u w:val="none"/>
          <w:effect w:val="none"/>
        </w:rPr>
        <w:t xml:space="preserve">Die haben hier nichts zu suchen.“ – „Wir müssen die Grenzen dicht machen.“ – „Wir sind nicht für die ganze Welt verantwortlich.“ – Diese und ähnliche Haltungen kennen wir nicht nur aus unserer Zeit. Wir sind ihnen gerade auch in den biblischen Texten begegnet. Im Haus Gottes ist Platz für alle, hält der Prophet Jesaja dem entgegen. Die Kriterien, die er nennt, heißen: sich dem Herrn anschließen, um ihm zu dienen, den Sabbat halten und überhaupt am Bund Gottes festhalten. Alle sollen Zutritt zum Tempel haben, denn: „Mein Haus wird ein Haus des Gebets für alle Völker genannt werden.“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Ein paar Jahrhunderte später muss das Thema in der Gemeinde des Matthäus neu verhandelt werden. Es ist eine Gemeinde, die aus judenchristlichem Kontext stammt. Das sind Juden, die in Jesus den Messias sehen, und in ihrem Umfeld Menschen begegnen, die keine Juden sind, sich aber für Jesus und sein Evangelium interessieren. Gilt seine Botschaft, sein Heil auch für sie? Ganz am Ende des Matthäusevangeliums, in den letzten Versen, ist es klar – wir haben es am Fest Christi Himmelfahrt gehört: „Geht und macht alle Völker zu meinen Jüngern“ (Mt 28,19)</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Evangelium heute ist es noch die Frage, wie Jesus mit der Heilungsbitte der Frau umgehen soll, weil sie nicht zum Volk Israel gehört. Jesus wird hier von der Frau schon, wenn man so will, mit einem ersten Glaubensbekenntnis angesprochen: Herr, du Sohn Davids. Sie läuft also nicht irgendeinem Wunderheiler hinterher, sondern sie geht bewusst auf Jesus zu: Aus dem Stamm Davids wird der Messias erwartet. Auf große Gegenliebe stößt ihr Ansinnen nicht. Die Jünger sind genervt: „Schick sie fort, denn sie schreit hinter uns her.“ Jesus selbst erklärt sich für nicht zuständig: „Ich bin nur zu den verlorenen Schafen des Hauses Israel gesandt.“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bei vielen Menschen, die voller Verzweiflung versuchen, ihre Lebenssituation zu verbessern, beendet das Argument der Nicht-Zuständigkeit die Angelegenheit nicht: „Doch sie kam, fiel vor ihm nieder und sagte: Herr, hilf mir!“ Jesus versucht es mit einem Argument, das er in ein Bild kleidet: „Es ist nicht recht, das Brot den Kindern wegzunehmen und den kleinen Hunden vorzuwerfen.“ Die Frau widerspricht Jesus nicht: „Ja, Herr“, sagt sie, macht dann aber darauf aufmerksam, dass für die Hunde immer noch das bleibt, was vom Tisch herunterfällt. Davon zeigt sich Jesus beeindruckt: „Frau, dein Glaube ist groß. Es soll dir geschehen, wie du willst.“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in vielen Heilungsgeschichten im Neuen Testament ist es der Glaube, ist es das Gottvertrauen, worauf Jesus reagiert. Dieses Gottvertrauen schafft Solidarität auch unter den Menschen: Menschen, die ausgegrenzt waren, werden Teil der Gemeinschaft, Menschen, die ausgegrenzt waren wegen Krankheit, wie es bei vielen Heilungen der Fall war; Menschen, die aufgrund ihres Berufes und der politischen Gesinnung gemieden wurden wie Zachäus, der berühmteste Zöllner in der Bibel; oder Menschen wie die Frau im heutigen Evangelium, deren „Mangel“ in der falschen Volkszugehörigkeit liegt.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Dort, wo Menschen in ihrem Gottvertrauen auf Jesus zugehen, und wo Jesus mit seinem Gottvertrauen den Menschen Gutes tut, dort wird Gottes Reich spürbar. Dort wird Heil spürbar.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Oder um es etwas nüchterner auszudrücken: Wo Menschen sich nicht zuerst fragen, ob sie überhaupt zuständig sind, ob die Antrag-, Bitt-, oder Fragestellenden hier überhaupt etwas zu suchen haben, wie man sie schnellstens los wird, damit man seine Ruhe hat, sondern wo man in der anderen Person zuerst einen Menschen sieht, und in diesem Menschen das Bild Gottes erkennt, da wird sich das Miteinander für alle zum Positiven verändern.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Wenn man auf die heutige Welt blickt, kann man das Gefühl bekommen, dass die menschliche Gemeinschaft schon solidarischer und friedvoller miteinander umgegangen ist als derzeit, dass man sich überfordert fühlen und mitunter verzweifeln könnte, und dass man doch nicht für die ganze Welt verantwortlich 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Keiner von uns muss die Welt retten, das ist richtig. Das dürfen wir getrost Jesus überlassen. Aber es schadet nichts, von ihm zu lernen, zu lernen, wie Gottvertrauen die Welt verändern kann. Frère Roger, der Gründer der Gemeinschaft von Taizé, hat das einmal so ausgedrückt: Lebe, was du vom Evangelium begriffen hast und sei es noch so wenig. Aber lebe 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Mir scheint, genau aus diesem Grund hat im Evangelium heute eine Heilung stattgefunden, obwohl sich Jesus und seine Freunde zunächst gar nicht für zuständig gehalten haben. Da stecken doch Möglichkeiten und Hoffnung für unsere Zeit drin.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Nach der Auslegung geht G zurück zum Platz und setzt sich. Nach einer </w:t>
      </w:r>
      <w:r>
        <w:rPr>
          <w:rFonts w:ascii="Aller" w:hAnsi="Aller"/>
          <w:b/>
          <w:i/>
          <w:caps w:val="0"/>
          <w:smallCaps w:val="0"/>
          <w:strike w:val="0"/>
          <w:dstrike w:val="0"/>
          <w:sz w:val="18"/>
          <w:u w:val="none"/>
          <w:effect w:val="none"/>
        </w:rPr>
        <w:t>angemessenen Zeit der Stille</w:t>
      </w:r>
      <w:r>
        <w:rPr>
          <w:rFonts w:ascii="Aller" w:hAnsi="Aller"/>
          <w:b w:val="0"/>
          <w:i/>
          <w:caps w:val="0"/>
          <w:smallCaps w:val="0"/>
          <w:strike w:val="0"/>
          <w:dstrike w:val="0"/>
          <w:sz w:val="18"/>
          <w:u w:val="none"/>
          <w:effect w:val="none"/>
        </w:rPr>
        <w:t xml:space="preserve"> stehen alle auf zur Antwort der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 der Gemeinde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Gottes Wort wollen wir nun Antwort geben.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Glaubensbekenntnis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Glaubensbekenntnis fasst in kurzen Aussagen zusammen, worauf wir vertrauen und was wir erwarten. Das sprechen wir jetzt vor Gott und voreinander aus.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glaube an Gott, den Vater GL 3,4</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oder</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Predigtlied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Wohl denen, die da wandeln GL 543,1-3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Friedenszeichen und Kollekte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 Menschen aus Gottvertrauen heraus im anderen das Bild Gottes sehen, da entstehen Gemeinschaft, Solidarität und Friede. Um diesen Frieden und dieses Gottvertrauen bitten wir Jesus Christus. Und wir wollen es uns jetzt gegenseitig zusprechen.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reichen einander die Hände und geben den Friedensgruß.</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Verbundenheit, die wir im Friedensgruß gezeigt haben, geht über unsere Gottesdienstgemeinschaft hinaus. Unsere Kollekte ist heute bestimmt für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gibt den Zweck der Kollekte bekannt, die M sammeln die Kollekte ein. Währenddessen spielt der Organist/die Organistin die Orgel.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Lobpreis und Hymnus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Wort-Gottes-Feier. Werkbuch für die Sonn- und Festtage, Trier 2004, Seite 180; Kehrvers: Lobet den Herrn, preist seine Huld und Treue, GL 401 (Der Kantor singt den Ruf, G spricht die einzelnen Abschnitte – ggf. jeweils zwei Rufe zusammenfassen – des Lobpreises); Hymnus: Seite 57 oder Lied.</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Lobpreis und Dank für Gottes Wort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Hymnus: Lasst uns loben, freudig loben GL 489,1-3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Fürbitten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die Einleitung und den Schluss zu den Fürbitten. L trägt die Bitten vor.</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antwortet: Wir bitten dich, erhöre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den Fürbitten schieben wir nicht Anliegen an Gott weiter, für die wir uns nicht zuständig fühlen. Im Gegenteil: Was uns auf dem Herzen liegt und wo wir die eigenen Grenzen spüren, das verstärken wir, indem wir es vor Gott tragen. Nach jeder Gebetseinladung halten wir eine kurze Stille für das persönliche Gebet.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Wir beten für die Menschen, die nach Zugehörigkeit und Gemeinschaft suchen. – </w:t>
      </w:r>
      <w:r>
        <w:rPr>
          <w:rFonts w:ascii="Aller" w:hAnsi="Aller"/>
          <w:b w:val="0"/>
          <w:i/>
          <w:caps w:val="0"/>
          <w:smallCaps w:val="0"/>
          <w:strike w:val="0"/>
          <w:dstrike w:val="0"/>
          <w:sz w:val="22"/>
          <w:u w:val="none"/>
          <w:effect w:val="none"/>
        </w:rPr>
        <w:t xml:space="preserve">Stille </w:t>
      </w:r>
      <w:r>
        <w:rPr>
          <w:rFonts w:ascii="Aller" w:hAnsi="Aller"/>
          <w:b w:val="0"/>
          <w:i w:val="0"/>
          <w:caps w:val="0"/>
          <w:smallCaps w:val="0"/>
          <w:strike w:val="0"/>
          <w:dstrike w:val="0"/>
          <w:sz w:val="22"/>
          <w:u w:val="none"/>
          <w:effect w:val="none"/>
        </w:rPr>
        <w:t>– Barmherziger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Wir beten für alle, die Ausgrenzung und Ablehnung erfahren aufgrund von Hautfarbe, Geschlecht oder Nationalität. – </w:t>
      </w:r>
      <w:r>
        <w:rPr>
          <w:rFonts w:ascii="Aller" w:hAnsi="Aller"/>
          <w:b w:val="0"/>
          <w:i/>
          <w:caps w:val="0"/>
          <w:smallCaps w:val="0"/>
          <w:strike w:val="0"/>
          <w:dstrike w:val="0"/>
          <w:sz w:val="22"/>
          <w:u w:val="none"/>
          <w:effect w:val="none"/>
        </w:rPr>
        <w:t xml:space="preserve">Stille </w:t>
      </w:r>
      <w:r>
        <w:rPr>
          <w:rFonts w:ascii="Aller" w:hAnsi="Aller"/>
          <w:b w:val="0"/>
          <w:i w:val="0"/>
          <w:caps w:val="0"/>
          <w:smallCaps w:val="0"/>
          <w:strike w:val="0"/>
          <w:dstrike w:val="0"/>
          <w:sz w:val="22"/>
          <w:u w:val="none"/>
          <w:effect w:val="none"/>
        </w:rPr>
        <w:t>– Barmherziger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Wir beten für alle, die mit ihrem Gottvertrauen auch anderen Menschen Hoffnung schenken. – </w:t>
      </w:r>
      <w:r>
        <w:rPr>
          <w:rFonts w:ascii="Aller" w:hAnsi="Aller"/>
          <w:b w:val="0"/>
          <w:i/>
          <w:caps w:val="0"/>
          <w:smallCaps w:val="0"/>
          <w:strike w:val="0"/>
          <w:dstrike w:val="0"/>
          <w:sz w:val="22"/>
          <w:u w:val="none"/>
          <w:effect w:val="none"/>
        </w:rPr>
        <w:t>Stille</w:t>
      </w:r>
      <w:r>
        <w:rPr>
          <w:rFonts w:ascii="Aller" w:hAnsi="Aller"/>
          <w:b w:val="0"/>
          <w:i w:val="0"/>
          <w:caps w:val="0"/>
          <w:smallCaps w:val="0"/>
          <w:strike w:val="0"/>
          <w:dstrike w:val="0"/>
          <w:sz w:val="22"/>
          <w:u w:val="none"/>
          <w:effect w:val="none"/>
        </w:rPr>
        <w:t xml:space="preserve"> – Barmherziger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Wir beten für alle, die in ihrem Urlaub den eigenen Horizont erweitern. – </w:t>
      </w:r>
      <w:r>
        <w:rPr>
          <w:rFonts w:ascii="Aller" w:hAnsi="Aller"/>
          <w:b w:val="0"/>
          <w:i/>
          <w:caps w:val="0"/>
          <w:smallCaps w:val="0"/>
          <w:strike w:val="0"/>
          <w:dstrike w:val="0"/>
          <w:sz w:val="22"/>
          <w:u w:val="none"/>
          <w:effect w:val="none"/>
        </w:rPr>
        <w:t>Stille</w:t>
      </w:r>
      <w:r>
        <w:rPr>
          <w:rFonts w:ascii="Aller" w:hAnsi="Aller"/>
          <w:b w:val="0"/>
          <w:i w:val="0"/>
          <w:caps w:val="0"/>
          <w:smallCaps w:val="0"/>
          <w:strike w:val="0"/>
          <w:dstrike w:val="0"/>
          <w:sz w:val="22"/>
          <w:u w:val="none"/>
          <w:effect w:val="none"/>
        </w:rPr>
        <w:t xml:space="preserve"> – Barmherziger Gott: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Wir beten für alle, mit denen wir uns jenseits der Grenze des Todes verbunden wissen. – </w:t>
      </w:r>
      <w:r>
        <w:rPr>
          <w:rFonts w:ascii="Aller" w:hAnsi="Aller"/>
          <w:b w:val="0"/>
          <w:i/>
          <w:caps w:val="0"/>
          <w:smallCaps w:val="0"/>
          <w:strike w:val="0"/>
          <w:dstrike w:val="0"/>
          <w:sz w:val="22"/>
          <w:u w:val="none"/>
          <w:effect w:val="none"/>
        </w:rPr>
        <w:t>Stille</w:t>
      </w:r>
      <w:r>
        <w:rPr>
          <w:rFonts w:ascii="Aller" w:hAnsi="Aller"/>
          <w:b w:val="0"/>
          <w:i w:val="0"/>
          <w:caps w:val="0"/>
          <w:smallCaps w:val="0"/>
          <w:strike w:val="0"/>
          <w:dstrike w:val="0"/>
          <w:sz w:val="22"/>
          <w:u w:val="none"/>
          <w:effect w:val="none"/>
        </w:rPr>
        <w:t xml:space="preserve"> – Barmherziger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Den folgenden Abschluss der Fürbitten betet G nur, wenn eine Kommunionfeier folgt. Findet </w:t>
      </w:r>
      <w:r>
        <w:rPr>
          <w:rFonts w:ascii="Aller" w:hAnsi="Aller"/>
          <w:b/>
          <w:i/>
          <w:caps w:val="0"/>
          <w:smallCaps w:val="0"/>
          <w:strike w:val="0"/>
          <w:dstrike w:val="0"/>
          <w:sz w:val="18"/>
          <w:u w:val="none"/>
          <w:effect w:val="none"/>
        </w:rPr>
        <w:t>keine Kommunionfeier</w:t>
      </w:r>
      <w:r>
        <w:rPr>
          <w:rFonts w:ascii="Aller" w:hAnsi="Aller"/>
          <w:b w:val="0"/>
          <w:i/>
          <w:caps w:val="0"/>
          <w:smallCaps w:val="0"/>
          <w:strike w:val="0"/>
          <w:dstrike w:val="0"/>
          <w:sz w:val="18"/>
          <w:u w:val="none"/>
          <w:effect w:val="none"/>
        </w:rPr>
        <w:t xml:space="preserve"> statt, schließt sich an die letzte Fürbitte das Vaterunser an. Es kann mit folgendem Satz übergeleitet werden:</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Dank und Bitte münden in das Gebet des Herrn: Vater unser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Danach folgen direkt das Danklied, die Vermeldungen, Segensbitte und Segen, Entlassung und evtl. Lied zum Auszug.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Dir, Gott, sagen wir Dank und preisen dich, jetzt und allezeit und in Ewigkeit.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Übertragung des Allerheiligsten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Wird aus pastoralen Gründen die Wortgottesfeier mit einer Kommunionspendung verbunden, wird wie vorgeschlagen vorgegangen.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Zusammenhang zwischen Wortgottesdienst und Kommunionfeier wird durch die feierliche Übertragung des Allerheiligsten vom Tabernakel zum Altar deutlich gemacht. G spricht zuvor: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haben das lebendige Wort Gottes gehört, wir dürfen uns in dieser Feier auch stärken lassen durch den Leib Christi. Das eucharistische Brot, das uns jetzt geschenkt wird, verbindet uns mit der Eucharistiefeier*, die wir am vergangenen Sonntag (in der vergangenen Woche, im vergangenen Monat, am Fest …) hier zuletzt gefeiert haben.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die heute in unserer Nachbargemeinde gefeiert wurde.)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G geht mit KH und zwei M, die brennende Leuchter tragen, zum Tabernakel, öffnet diesen und macht eine Kniebeuge, nimmt die Hostienschale aus dem Tabernakel und stellt sie in der Mitte des Altares ab. Danach machen G, KH und M eine Kniebeuge hinter dem Altar. Währenddessen singt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stille Anbetung und Vaterunser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Lied: Gott ist gegenwärtig GL 387,1+8</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knien eine angemessene Zeit in stillem 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Zum Vaterunser stehen alle auf.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Lasst uns gemeinsam beten, wie Jesus uns zu beten gelehrt hat.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Vater unser im Himmel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Einladung zur Kommunion – Kommunion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tritt an den Altar, macht eine Kniebeuge, nimmt die Hostienschale, wendet sich der Gemeinde zu, hält eine Hostie in die Höhe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das Lamm Gottes, das hinwegnimmt die Sünde der Welt.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ich bin nicht würdig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KH teilen die Kommunion aus. Sie zeigen allen, die die Kommunion empfangen, die Hostie mit den Worten: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Leib Christi.</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Kommunionausteilung spielt der Organist/die Organistin die Orgel. Danach wird die Hostienschale in den Tabernakel zurückgestellt. Nach kurzer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Danklied und Dankgebet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Lied: Wenn wir das Leben teilen GL 474,1-5</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stehen auf. G spricht das Dankgebet vom Platz aus.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Es wird eingeleitet mit den Worten: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Nach einer kurzen Stille spricht 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Barmherziger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danken dir für dein Wort und für das Zeichen des Brotes,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denen du uns in dieser Feier nahegekommen bist.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Stärke damit unsere Liebe zu dir und untereinander,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lass uns zu glaubwürdigen Zeugen dieser Liebe werden.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Darum bitten wir im Heiligen Geist durch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unseren Bruder und Herrn.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Vermeldungen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dieser Stelle ist Raum für Vermeldungen an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Segensbitte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bleibt am Platz und spricht von dort den Segen.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Er wird eingeleitet mit den Worten: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Gott um seinen Segen: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schenke uns Zuversicht und Vertrauen.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Er segne unser Denken und Handeln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sei mit uns auf unseren Wegen.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segne und begleite uns der lebendige Gott,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Vater und der Sohn und der Heilige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Entlassung, Lied und Auszug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Singet Lob und Preis.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 dem Herrn.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Selig seid ihr GL 459</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die einen liturgischen Dienst wahrgenommen haben, gehen vor den Altar, machen gemeinsam eine Verneigung (Kniebeuge, wenn Tabernakel in Blickrichtung) und gehen in die Sakristei. Der Organist/die Organistin spielt ein Nachspiel.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rFonts w:ascii="Aller" w:hAnsi="Aller"/>
          <w:b w:val="0"/>
          <w:i/>
          <w:caps w:val="0"/>
          <w:smallCaps w:val="0"/>
          <w:strike w:val="0"/>
          <w:dstrike w:val="0"/>
          <w:sz w:val="16"/>
          <w:u w:val="none"/>
          <w:effect w:val="none"/>
        </w:rPr>
      </w:pPr>
      <w:r>
        <w:rPr>
          <w:rFonts w:ascii="Aller" w:hAnsi="Aller"/>
          <w:b w:val="0"/>
          <w:i/>
          <w:caps w:val="0"/>
          <w:smallCaps w:val="0"/>
          <w:strike w:val="0"/>
          <w:dstrike w:val="0"/>
          <w:sz w:val="16"/>
          <w:u w:val="none"/>
          <w:effect w:val="none"/>
        </w:rPr>
        <w:t>Entwurf: Gerhard Jammer</w:t>
      </w:r>
    </w:p>
    <w:p>
      <w:pPr>
        <w:pStyle w:val="Textkrper"/>
        <w:spacing w:before="0" w:after="283"/>
      </w:pPr>
      <w:r>
        <w:t> </w:t>
      </w:r>
    </w:p>
    <w:sectPr>
      <w:type w:val="nextPage"/>
      <w:pgSz w:w="16838" w:h="11906" w:orient="landscape"/>
      <w:pgMar w:top="850" w:right="850" w:bottom="850" w:left="850" w:header="0" w:footer="0" w:gutter="0"/>
      <w:pgNumType w:fmt="decimal"/>
      <w:cols w:num="2" w:sep="0" w:space="850" w:equalWidth="1"/>
      <w:formProt w:val="0"/>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 w:name="Aller">
    <w:charset w:val="00"/>
    <w:family w:val="auto"/>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Arial"/>
      <w:color w:val="auto"/>
      <w:sz w:val="24"/>
      <w:szCs w:val="24"/>
      <w:lang w:val="de-DE" w:eastAsia="zh-CN" w:bidi="hi-IN"/>
    </w:rPr>
  </w:style>
  <w:style w:type="character" w:default="1" w:styleId="DefaultParagraphFont">
    <w:name w:val="Default Paragraph Font"/>
    <w:uiPriority w:val="1"/>
    <w:semiHidden/>
    <w:unhideWhenUsed/>
  </w:style>
  <w:style w:type="paragraph" w:customStyle="1" w:styleId="berschrift1">
    <w:name w:val="Überschrift 1"/>
    <w:basedOn w:val="berschrift"/>
    <w:next w:val="Textkrper"/>
    <w:rPr>
      <w:rFonts w:ascii="Thorndale" w:hAnsi="Thorndale"/>
      <w:b/>
      <w:bCs/>
      <w:sz w:val="48"/>
      <w:szCs w:val="44"/>
    </w:rPr>
  </w:style>
  <w:style w:type="character" w:customStyle="1" w:styleId="Endnotenzeichen">
    <w:name w:val="Endnotenzeichen"/>
    <w:qFormat/>
  </w:style>
  <w:style w:type="character" w:customStyle="1" w:styleId="Funotenzeichen">
    <w:name w:val="Fußnotenzeichen"/>
    <w:qFormat/>
  </w:style>
  <w:style w:type="character" w:customStyle="1" w:styleId="Internetlink">
    <w:name w:val="Internetlink"/>
    <w:rPr>
      <w:color w:val="000080"/>
      <w:u w:val="single"/>
    </w:rPr>
  </w:style>
  <w:style w:type="paragraph" w:customStyle="1" w:styleId="HorizontaleLinie">
    <w:name w:val="Horizontale Linie"/>
    <w:basedOn w:val="Normal"/>
    <w:next w:val="Textkrper"/>
    <w:qFormat/>
    <w:pPr>
      <w:pBdr>
        <w:bottom w:val="double" w:sz="2" w:space="0" w:color="808080"/>
      </w:pBdr>
      <w:spacing w:before="0" w:after="283"/>
    </w:pPr>
    <w:rPr>
      <w:sz w:val="12"/>
    </w:rPr>
  </w:style>
  <w:style w:type="paragraph" w:customStyle="1" w:styleId="Absender">
    <w:name w:val="Absender"/>
    <w:basedOn w:val="Normal"/>
    <w:rPr>
      <w:i/>
    </w:rPr>
  </w:style>
  <w:style w:type="paragraph" w:customStyle="1" w:styleId="TabellenInhalt">
    <w:name w:val="Tabellen Inhalt"/>
    <w:basedOn w:val="Textkrper"/>
    <w:qFormat/>
  </w:style>
  <w:style w:type="paragraph" w:customStyle="1" w:styleId="Fuzeile">
    <w:name w:val="Fußzeile"/>
    <w:basedOn w:val="Normal"/>
    <w:pPr>
      <w:suppressLineNumbers/>
      <w:tabs>
        <w:tab w:val="center" w:pos="4818"/>
        <w:tab w:val="right" w:pos="9637"/>
      </w:tabs>
    </w:pPr>
  </w:style>
  <w:style w:type="paragraph" w:customStyle="1" w:styleId="Kopfzeile">
    <w:name w:val="Kopfzeile"/>
    <w:basedOn w:val="Normal"/>
    <w:pPr>
      <w:suppressLineNumbers/>
      <w:tabs>
        <w:tab w:val="center" w:pos="4818"/>
        <w:tab w:val="right" w:pos="9637"/>
      </w:tabs>
    </w:pPr>
  </w:style>
  <w:style w:type="paragraph" w:customStyle="1" w:styleId="Verzeichnis">
    <w:name w:val="Verzeichnis"/>
    <w:basedOn w:val="Normal"/>
    <w:qFormat/>
    <w:pPr>
      <w:suppressLineNumbers/>
    </w:pPr>
    <w:rPr>
      <w:rFonts w:cs="Arial"/>
    </w:rPr>
  </w:style>
  <w:style w:type="paragraph" w:customStyle="1" w:styleId="Beschriftung">
    <w:name w:val="Beschriftung"/>
    <w:basedOn w:val="Normal"/>
    <w:pPr>
      <w:suppressLineNumbers/>
      <w:spacing w:before="120" w:after="120"/>
    </w:pPr>
    <w:rPr>
      <w:rFonts w:cs="Arial"/>
      <w:i/>
      <w:iCs/>
      <w:sz w:val="24"/>
      <w:szCs w:val="24"/>
    </w:rPr>
  </w:style>
  <w:style w:type="paragraph" w:customStyle="1" w:styleId="Liste">
    <w:name w:val="Liste"/>
    <w:basedOn w:val="Textkrper"/>
    <w:rPr>
      <w:rFonts w:cs="Arial"/>
    </w:rPr>
  </w:style>
  <w:style w:type="paragraph" w:customStyle="1" w:styleId="Textkrper">
    <w:name w:val="Textkörper"/>
    <w:basedOn w:val="Normal"/>
    <w:pPr>
      <w:spacing w:before="0" w:after="0"/>
      <w:ind w:right="0" w:firstLine="0"/>
    </w:pPr>
  </w:style>
  <w:style w:type="paragraph" w:customStyle="1" w:styleId="berschrift">
    <w:name w:val="Überschrift"/>
    <w:basedOn w:val="Normal"/>
    <w:next w:val="Textkrper"/>
    <w:qFormat/>
    <w:pPr>
      <w:keepNext/>
      <w:spacing w:before="240" w:after="283"/>
    </w:pPr>
    <w:rPr>
      <w:rFonts w:ascii="Albany" w:hAnsi="Albany"/>
      <w:sz w:val="28"/>
      <w:szCs w:val="28"/>
    </w:rPr>
  </w:style>
  <w:style w:type="paragraph" w:customStyle="1" w:styleId="Tabellenberschrift">
    <w:name w:val="Tabellen Überschrift"/>
    <w:basedOn w:val="TabellenInhalt"/>
    <w:qFormat/>
    <w:pPr>
      <w:suppressLineNumbers/>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Noxum HTML Publisher Output</dc:title>
  <cp:revision>0</cp:revision>
  <dc:language>de-DE</dc:language>
</cp:coreProperties>
</file>