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pPr>
        <w:pStyle w:val="Textkrper"/>
        <w:spacing w:before="0" w:after="0"/>
        <w:ind w:left="0" w:right="0" w:firstLine="0"/>
        <w:jc w:val="left"/>
        <w:rPr>
          <w:rFonts w:ascii="Aller" w:hAnsi="Aller"/>
          <w:b w:val="0"/>
          <w:i w:val="0"/>
          <w:caps w:val="0"/>
          <w:smallCaps w:val="0"/>
          <w:strike w:val="0"/>
          <w:dstrike w:val="0"/>
          <w:sz w:val="20"/>
          <w:u w:val="none"/>
          <w:effect w:val="none"/>
        </w:rPr>
      </w:pPr>
      <w:r>
        <w:rPr>
          <w:rFonts w:ascii="Aller" w:hAnsi="Aller"/>
          <w:b w:val="0"/>
          <w:i w:val="0"/>
          <w:caps w:val="0"/>
          <w:smallCaps w:val="0"/>
          <w:strike w:val="0"/>
          <w:dstrike w:val="0"/>
          <w:sz w:val="20"/>
          <w:u w:val="none"/>
          <w:effect w:val="none"/>
        </w:rPr>
        <w:t>WORTGOTTESFEIER</w:t>
      </w:r>
    </w:p>
    <w:p>
      <w:pPr>
        <w:pStyle w:val="Textkrper"/>
        <w:spacing w:before="0" w:after="0"/>
        <w:ind w:left="0" w:right="0" w:firstLine="0"/>
        <w:jc w:val="left"/>
        <w:rPr>
          <w:rFonts w:ascii="Aller" w:hAnsi="Aller"/>
          <w:b/>
          <w:i w:val="0"/>
          <w:caps w:val="0"/>
          <w:smallCaps w:val="0"/>
          <w:strike w:val="0"/>
          <w:dstrike w:val="0"/>
          <w:sz w:val="52"/>
          <w:u w:val="none"/>
          <w:effect w:val="none"/>
        </w:rPr>
      </w:pPr>
      <w:r>
        <w:rPr>
          <w:rFonts w:ascii="Aller" w:hAnsi="Aller"/>
          <w:b/>
          <w:i w:val="0"/>
          <w:caps w:val="0"/>
          <w:smallCaps w:val="0"/>
          <w:strike w:val="0"/>
          <w:dstrike w:val="0"/>
          <w:sz w:val="52"/>
          <w:u w:val="none"/>
          <w:effect w:val="none"/>
        </w:rPr>
        <w:t>14. Sonntag im Jahreskreis</w:t>
      </w:r>
    </w:p>
    <w:p>
      <w:pPr>
        <w:pStyle w:val="Textkrper"/>
        <w:spacing w:before="0" w:after="0"/>
        <w:ind w:left="0" w:right="0" w:firstLine="0"/>
        <w:jc w:val="both"/>
        <w:rPr>
          <w:rFonts w:ascii="Aller" w:hAnsi="Aller"/>
          <w:b w:val="0"/>
          <w:i w:val="0"/>
          <w:caps w:val="0"/>
          <w:smallCaps w:val="0"/>
          <w:strike w:val="0"/>
          <w:dstrike w:val="0"/>
          <w:sz w:val="20"/>
          <w:u w:val="none"/>
          <w:effect w:val="none"/>
        </w:rPr>
      </w:pPr>
      <w:r>
        <w:rPr>
          <w:rFonts w:ascii="Aller" w:hAnsi="Aller"/>
          <w:b w:val="0"/>
          <w:i w:val="0"/>
          <w:caps w:val="0"/>
          <w:smallCaps w:val="0"/>
          <w:strike w:val="0"/>
          <w:dstrike w:val="0"/>
          <w:sz w:val="20"/>
          <w:u w:val="none"/>
          <w:effect w:val="none"/>
        </w:rPr>
        <w:t>\ Lesejahr A \ ( 2026-14So-A )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Einzug</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das Orgelvorspiel erklingt, ziehen Gottesdienstleiter/-in (G), Ministranten und Ministrantinnen (M), Lektoren und Lektorinnen (L), Kantor/-in (K) und – falls benötigt – Kommunionhelfer/-in (KH) in die Kirche ein, verneigen sich vor dem Altar (Kniebeuge nur, wenn der Tabernakel im Sichtfeld ist) und gehen zu ihren Plätzen; alle – auch die Gemeinde – stehen bis nach dem Eröffnungsgebet.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Lied zur Eröffnung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Herr, gib uns Mut zum Hören GL 448,1+3</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Kreuzzeichen – Liturgischer Gruß</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eröffnet den Gottesdienst mit dem Kreuzzeichen, spricht die Einführung und betet Christusrufe und Eröffnungsgebet vor (nur wenn bei den Sitzen kein Mikrofon ist, spricht er/sie vom Ambo aus).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Ich begrüße Sie herzlich zu dieser Wortgottesfeier.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feiern diesen Gottesdienst: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Im Namen des Vaters und des Sohnes und des Heiligen Geistes.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Unsere Hilfe ist im Namen des Herrn.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Der Himmel und Erde erschaffen hat.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Liebe Schwestern und Brüder,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seien Sie herzlich willkommen in dieser Wortgottesfeier.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Ja, wir feiern das Wort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halten inne, hören seine Botschaft und versuchen, sie in unsere Herzen zu lassen. – Begrüßen wir ihn, in dessen Namen wir uns versammelt haben, also in unserer Mitte: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Kurze Stille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Kyrie-Rufe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Gott, unser Vater, du siehst den Unfrieden auf Erden. –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Herr, erbarme dich.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Herr, erbarme dich.</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Du sandtest deinen Sohn zum Frieden in der Welt.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Christus, erbarme dich.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Christus, erbarme dich.</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Hilf uns, auf deinem Weg des Friedens zu bleiben. –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Herr, erbarme dich.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Herr, erbarme dich.</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Eröffnungsgebet</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leitet ein und hält eine kurze Stille.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Lasset uns beten.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und die Gemeinde sammeln sich zum Gebet, dann spricht 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Gott, unser Vater,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haben uns versammelt,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um gemeinsam dein Wort zu hören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in der Stille zu beten.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Schenke uns ein offenes Ohr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füreinander und für dich.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Darum bitten wir durch Jesus Christus.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 in die erste Lesung</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Einführungen werden von L1 vom Platz und die Lesungen von L2 vom Ambo aus vorgetragen. Die Gemeinde setzt sich.</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In der Lesung aus dem Buch Sacharja hören wir von der Hoffnung auf einen demütigen und gerechten König, der Frieden bringt.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Erste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Lesung aus dem Buch Sacharja.</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Sach 9,9-10 (Schott-Messbuch für die Sonn- und Festtage, Lesejahr A, Seite 517).</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Vortrag der Lesung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Wort des lebendigen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Antwortgesang – Psalm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Kehrvers wird von K gesungen, die Gemeinde wiederholt ihn. K liest oder singt die Psalmverse (GL 76,2 oder Schott-Messbuch für die Sonn-und Festtage, Lesejahr A, Seite 517f.) vom Ambo aus vor. Dazwischen bzw. am Ende wiederholt die Gemeinde den Kehrvers.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Ich will dich rühmen, meinen Gott und König. Melodie GL 76,1</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Verse aus dem Psalm 145 GL 76,2</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Ich will dich rühmen, meinen Gott und König. Melodie GL 76,1</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Einführung in die zweite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In der Lesung hören wir, dass der Geist Gottes uns bewohnt und verbindet. Dem Fleisch, also den Körpern, aber auch den leiblichen Verwandtschaften soll nicht zu viel Bedeutung beigemessen werden.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Zweite Lesung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Lesung aus dem Brief des Apostels Paulus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an die Gemeinde in Rom.</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Röm 8,9.11-13 (Schott-Messbuch für die Sonn- und Festtage, Lesejahr A, Seite 518).</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Vortrag der Lesung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Wort des lebendigen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Ruf vor dem Evangelium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steht auf. K singt das Halleluja, die Gemeinde wiederholt es.</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Anschließend singt oder liest K den Vers. Am Ende wiederholt die Gemeinde das Halleluja.</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Halleluja, Halleluja GL 174,3</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Sei gepriesen, Vater, Herr des Himmels und der Erde;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du hast die Geheimnisse des Reiches den Unmündigen offenbart.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Halleluja, Halleluja GL 174,3</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Evangelium</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Während der Wiederholung des Hallelujarufes geht G zum Altar und verneigt sich, nimmt das Evangelienbuch vom Altar und trägt es zum Ambo; zwei M mit brennenden Kerzen begleiten G. G breitet die Arme aus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Aus dem heiligen Evangelium nach Matthäus.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 auf Buch, Stirn, Mund und Brust.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Ehre sei dir, o Herr.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Mt 11,25-30 (Schott-Messbuch für die Sonn- und Festtage, Lesejahr C, Seite 519).</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Vortrag des Evangeliums endet mit dem Bekenntnis: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Evangelium unseres Herrn Jesus Christus.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Lob sei dir, Christus.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Der Hallelujaruf kann an dieser Stelle wiederholt werden.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setzt sich, die M stellen die Leuchter wieder an den Altar.</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Auslegung und Deutung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Liebe Schwestern und Brüder im Geist Christi,</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geht es Ihnen und euch manchmal auch so, dass Sie am liebsten laut schreien möchten, wenn Sie sich den Zustand der Welt anschauen? Die Kriege und die Gewalt, Unterdrückung und Vertreibung ungezählter Menschen wie du und ich. Hilflos sitzen wir vor den Nachrichten, leiden mit den Menschen, ob nah oder fern. Viele zweifeln oder verzweifeln sogar am Glauben an einen barmherzigen Gott, vermutlich auch einige, die heute hier sind. Es ist eine Plattitüde, aber deshalb nicht weniger wahr: Zum Glauben gehört das Zweifeln untrennbar dazu und manchmal sogar das Verzweifeln.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Dabei sind wir doch eigentlich getragen von einer großen Hoffnung. Oder zumindest sagen wir das gerne, manchmal vielleicht auch trotz aller Widrigkeiten und wider besseres Wissen. Hoffnung als Trotzreaktion? Hoffnung auf eine bessere Welt: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Auf eine Welt, in der niemand getötet wird,</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auf eine Welt, in der niemandem Gewalt widerfährt,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auf eine Welt, in der niemand vertrieben wird,</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auf eine Welt, in der es keine Waffen gibt,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auf eine Welt, in der niemand vom Unrecht des Stärkeren Gebrauch macht,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auf eine Welt, in der niemand missbraucht wird,</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auf eine Welt, in der niemand hungern muss,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kurzum auf eine Welt, in der alle genug zum Leben haben und in Frieden und Freiheit leben können.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Von dieser Hoffnung erzählt uns die erste Lesung, die wir heute gehört haben: „Juble laut, Tochter Zion! Jauchze, Tochter Jerusalem!“ Sacharja erzählt von einem König, der kommen soll. Einfach und demütig kommt er auf einem Esel geritten. Gerecht soll er sein. Nicht von ungefähr denken wir dabei an eine Szene aus dem Leben Jesu. Denn diese Szene war Vorbild für Jesu Einzug in Jerusalem, an den wir an Palmsonntag erinnern. Damit sollte deutlich werden: Wir glauben, ja wir hoffen darauf, dass dieser Jesus der gerechte König ist, der endlich Frieden bringt. Der Prophet wird hier sehr konkret: Weg mit den Streitwagen, weg mit den Rossen, also den Pferden mit ihren kriegerischen Reitern, weg mit den Kriegsbögen. Mit dieser Botschaft steht Sacharja nicht alleine da im Alten Testament. Hier wird deutlich: Entgegen aller Vorurteile über einen angeblich zornigen und rachsüchtigen Gott verbreiten die Propheten des Alten Testaments vor allem die Hoffnung auf einen Gott des Lebens und des Friedens. Am Ende der Zeiten werden alle Völker im Frieden miteinander leben. Diese Zeit soll der Messias einleiten, der gerechte und demütige König, von dem Sacharja schreibt.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Vom Zustand der Welt her stellt sich also die Frage: Worauf warten wir noch? Wann kommt er endlich, dieser Frieden, die Gerechtigkeit und vor allem der demütige König, der Friedensfürst? Kann es wirklich sein, dass Jesus der Messias ist, wenn die Welt doch ganz offenkundig weit davon entfernt ist, friedlich zu sein?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xml:space="preserve">Wenn Jesus also wirklich der Messias sein soll, dann verhält es sich mit seinem Frieden wohl nicht ganz so einfach, wie uns der Prophet Sacharja hier verkündet. Der König kommt und, zack, Frieden. Nicht umsonst lernen wir in der Schule alle die berühmte Formulierung „schon und noch nicht“. Das Reich Gottes, das Friedensreich ist schon angebrochen, aber es ist noch nicht vollendet. Wir, die wir an Christus glauben und in seinem Geist geeint sind, sind dazu aufgefordert und herausgefordert, am Reich Gottes mitzuwirken.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Durch Christus kam es in die Welt, durch uns bleibt es sichtbar.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Was für eine Aufgabe! Von uns hängt es also ab? Das Reich Gottes ist zwar Geschenk seiner Gnade, doch braucht es jede und jeden von uns, um es sichtbar zu machen. Was für eine Aufgabe! Oder vielleicht auch eine Überforderung? Von uns soll es abhängen, dass Frieden in der Welt sichtbar wird? Dass Kriege und Gewalt enden, Unterdrückung, Vertreibung und Missbrauch? Ist das in Anbetracht der Größe dieser Welt und der Größe der offensichtlichen Boshaftigkeit mancher Mächtigen dieser Erde nicht sogar eine Anmaßung? Wie sollen wir das verantworten können? Sind wir dann im Umkehrschluss auch verantwortlich dafür, dass Krieg und Gewalt weiterhin existieren? Lasten die Toten und Leidenden dieser Welt auch auf unseren Schultern? Nein, diesen Schuh würden sich doch die meisten von uns nicht anziehen wollen.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Doch dieses Gedankenkarussel macht verständlicher, was Jesus heute im Evangelium gesagt hat: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w:t>
      </w:r>
      <w:r>
        <w:rPr>
          <w:rFonts w:ascii="Aller" w:hAnsi="Aller"/>
          <w:b w:val="0"/>
          <w:i/>
          <w:caps w:val="0"/>
          <w:smallCaps w:val="0"/>
          <w:strike w:val="0"/>
          <w:dstrike w:val="0"/>
          <w:sz w:val="22"/>
          <w:u w:val="none"/>
          <w:effect w:val="none"/>
        </w:rPr>
        <w:t>Kommt alle zu mir, die ihr mühselig und beladen seid!“</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Mühselig und beladen mit selbst erfahrenem Leid und selbst widerfahrener Gewalt. Aber auch: Mühselig und beladen von den Sorgen dieser Welt. Mühselig und beladen von der Verantwortung für diese Welt. Mühselig und beladen vor lauter Hoffnung und Mitwirkung auf eine bessere Welt. Dabei sind doch die meisten schon mühselig und beladen mit ihren ganz persönlichen Sorgen und Nöten. Mit den vielen Aufgaben des Alltags, dem Mangel an Zeit und der Sorge um zerbrechliche zwischenmenschliche Beziehungen.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 tut es gut, diese Worte von Jesus zu hören. Denn es sind ganz einfache Worte, ganz offen formuliert. Jede und jeder kann sie auf sich und die eigene Siutation beziehen. Da kann es um einfache Sorgen des Alltags gehen, aber auch um die ganz großen Fragen von Leben und Tod. Als kleine Übung formulieren wir diesen Satz daher um, denn so offen Jesu Worte sind, so unkonkret können sie auch wirken.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w:t>
      </w:r>
      <w:r>
        <w:rPr>
          <w:rFonts w:ascii="Aller" w:hAnsi="Aller"/>
          <w:b w:val="0"/>
          <w:i/>
          <w:caps w:val="0"/>
          <w:smallCaps w:val="0"/>
          <w:strike w:val="0"/>
          <w:dstrike w:val="0"/>
          <w:sz w:val="22"/>
          <w:u w:val="none"/>
          <w:effect w:val="none"/>
        </w:rPr>
        <w:t>Kommt alle zu mir, die ihr erschöpft und ausgelaugt seid.“</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w:t>
      </w:r>
      <w:r>
        <w:rPr>
          <w:rFonts w:ascii="Aller" w:hAnsi="Aller"/>
          <w:b w:val="0"/>
          <w:i/>
          <w:caps w:val="0"/>
          <w:smallCaps w:val="0"/>
          <w:strike w:val="0"/>
          <w:dstrike w:val="0"/>
          <w:sz w:val="22"/>
          <w:u w:val="none"/>
          <w:effect w:val="none"/>
        </w:rPr>
        <w:t>Kommt alle zu mir, die ihr verunsichert und ängstlich seid.“</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w:t>
      </w:r>
      <w:r>
        <w:rPr>
          <w:rFonts w:ascii="Aller" w:hAnsi="Aller"/>
          <w:b w:val="0"/>
          <w:i/>
          <w:caps w:val="0"/>
          <w:smallCaps w:val="0"/>
          <w:strike w:val="0"/>
          <w:dstrike w:val="0"/>
          <w:sz w:val="22"/>
          <w:u w:val="none"/>
          <w:effect w:val="none"/>
        </w:rPr>
        <w:t>Kommt alle zu mir, die ihr krank seid und leidet.“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w:t>
      </w:r>
      <w:r>
        <w:rPr>
          <w:rFonts w:ascii="Aller" w:hAnsi="Aller"/>
          <w:b w:val="0"/>
          <w:i/>
          <w:caps w:val="0"/>
          <w:smallCaps w:val="0"/>
          <w:strike w:val="0"/>
          <w:dstrike w:val="0"/>
          <w:sz w:val="22"/>
          <w:u w:val="none"/>
          <w:effect w:val="none"/>
        </w:rPr>
        <w:t>Kommt alle zu mir, die ihr unterdrückt werdet und Gewalt erfahrt.“</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w:t>
      </w:r>
      <w:r>
        <w:rPr>
          <w:rFonts w:ascii="Aller" w:hAnsi="Aller"/>
          <w:b w:val="0"/>
          <w:i/>
          <w:caps w:val="0"/>
          <w:smallCaps w:val="0"/>
          <w:strike w:val="0"/>
          <w:dstrike w:val="0"/>
          <w:sz w:val="22"/>
          <w:u w:val="none"/>
          <w:effect w:val="none"/>
        </w:rPr>
        <w:t>Kommt alle zu mir, die ihr trauert.</w:t>
      </w:r>
      <w:r>
        <w:rPr>
          <w:rFonts w:ascii="Aller" w:hAnsi="Aller"/>
          <w:b w:val="0"/>
          <w:i w:val="0"/>
          <w:caps w:val="0"/>
          <w:smallCaps w:val="0"/>
          <w:strike w:val="0"/>
          <w:dstrike w:val="0"/>
          <w:sz w:val="22"/>
          <w:u w:val="none"/>
          <w:effect w:val="none"/>
        </w:rPr>
        <w: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 Nähe und Begegnung mit Jesus kann uns Hoffnung geben. Sie kann uns beruhigen und wieder neue Kraft schenken, um frisch gestärkt am Reich Gottes mitzuwirken.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wenn das alles nicht hilft, muss man manchmal vielleicht doch auch einfach schreien: In der finnischen Stadt Oulu gibt es einen Männerchor, der nicht singt, sondern schreit. Das gemeinsame Schreien baut negative Energien ab. Vielleicht müssen wir also auch einfach mal laut schreien, damit es uns besser geht. „Der Friede sei mit dir!“ würde sich dafür anbieten. So ist der Friede, der doch oft eher etwas still und leise daherkommt, wenigstens einmal laut und deutlich zu hören.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 xml:space="preserve">Nach der Auslegung geht G zurück zum Platz und setzt sich. Nach einer </w:t>
      </w:r>
      <w:r>
        <w:rPr>
          <w:rFonts w:ascii="Aller" w:hAnsi="Aller"/>
          <w:b/>
          <w:i/>
          <w:caps w:val="0"/>
          <w:smallCaps w:val="0"/>
          <w:strike w:val="0"/>
          <w:dstrike w:val="0"/>
          <w:sz w:val="18"/>
          <w:u w:val="none"/>
          <w:effect w:val="none"/>
        </w:rPr>
        <w:t>angemessenen Zeit der Stille</w:t>
      </w:r>
      <w:r>
        <w:rPr>
          <w:rFonts w:ascii="Aller" w:hAnsi="Aller"/>
          <w:b w:val="0"/>
          <w:i/>
          <w:caps w:val="0"/>
          <w:smallCaps w:val="0"/>
          <w:strike w:val="0"/>
          <w:dstrike w:val="0"/>
          <w:sz w:val="18"/>
          <w:u w:val="none"/>
          <w:effect w:val="none"/>
        </w:rPr>
        <w:t xml:space="preserve"> stehen alle zur Antwort der Gemeinde auf.</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Antwort der Gemeinde</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leitet ein: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Auf Gottes Wort wollen wir Antwort geben.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Glaubensbekenntnis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Bekennen wir unseren Glauben an den Gott, der immer wieder unter uns Menschen Mensch werden will.</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Ich glaube an Gott GL 3,4</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Friedenszeichen und Kollekte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w:t>
      </w:r>
      <w:r>
        <w:rPr>
          <w:rFonts w:ascii="Aller" w:hAnsi="Aller"/>
          <w:b w:val="0"/>
          <w:i w:val="0"/>
          <w:caps w:val="0"/>
          <w:smallCaps w:val="0"/>
          <w:strike w:val="0"/>
          <w:dstrike w:val="0"/>
          <w:sz w:val="22"/>
          <w:u w:val="none"/>
          <w:effect w:val="none"/>
        </w:rPr>
        <w:t>Siehe, dein König kommt zu dir.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Er wird den Nationen Frieden verkünden;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seine Herrschaft reicht [...] bis an die Enden der Erde.“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Dieser Friede des Herrn sei allezeit mitten unter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reichen einander die Hände und geben den Friedensgruß. G geht durch die Reihen und gibt ebenfalls den Frieden des Herrn weiter.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Die Verbundenheit, die wir im Friedensgruß bekundet haben, wollen wir in der Kollekte sichtbar zum Ausdruck bringen. Sie ist heute bestimmt für ...</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gibt den Zweck der Kollekte bekannt, die M sammeln die Kollekte ein.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Dazu spielt der Organist/die Organistin die Orgel.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Lobpreis und Lied</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Wort-Gottes-Feier. Werkbuch für die Sonn- und Festtage, Trier 2004, Seite 180; Kehrvers: Lobet den Herrn, preist seine Huld und Treue, GL 401;</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Lobpreis und Dank für Gottes Wirken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Lied: Eine große Stadt ersteht GL 479,1-3</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Fürbitten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spricht die Einleitung und den Schluss zu den Fürbitten. L trägt die Bitten vor. Die Gemeinde antwortet: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bringen unsere Bitten vor Gott, auf dessen Frieden wir hoffen: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bitten für alle, die im Krieg leben und Gewalt und Unterdrückung erleiden müssen: Schaffe ihnen Frieden.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bitten für die Mächtigen dieser Welt: Hilf ihnen zur Umkehr auf den Weg des Friedens.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bitten für alle, die sich für eine friedliche Welt einsetzen: Stärke sie mit deinem Geist.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bitten für alle, die mühselig und beladen sind: Gib ihnen Ruhe für ihre Seele.</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bitten für alle Kranken: Schenke ihnen Heilung.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280" w:right="0" w:hanging="28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bitten für unsere Verstorbenen: Nimm sie auf in dein Reich.</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Wir bitten dich, erhöre uns.</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 xml:space="preserve">Den folgenden Abschluss der Fürbitten betet G nur, wenn eine Kommunionfeier folgt. Findet </w:t>
      </w:r>
      <w:r>
        <w:rPr>
          <w:rFonts w:ascii="Aller" w:hAnsi="Aller"/>
          <w:b/>
          <w:i/>
          <w:caps w:val="0"/>
          <w:smallCaps w:val="0"/>
          <w:strike w:val="0"/>
          <w:dstrike w:val="0"/>
          <w:sz w:val="18"/>
          <w:u w:val="none"/>
          <w:effect w:val="none"/>
        </w:rPr>
        <w:t>keine Kommunionfeier</w:t>
      </w:r>
      <w:r>
        <w:rPr>
          <w:rFonts w:ascii="Aller" w:hAnsi="Aller"/>
          <w:b w:val="0"/>
          <w:i/>
          <w:caps w:val="0"/>
          <w:smallCaps w:val="0"/>
          <w:strike w:val="0"/>
          <w:dstrike w:val="0"/>
          <w:sz w:val="18"/>
          <w:u w:val="none"/>
          <w:effect w:val="none"/>
        </w:rPr>
        <w:t xml:space="preserve"> statt, schließt sich an die letzte Fürbitte das Vaterunser an. Es kann mit folgendem Satz übergeleitet werden:</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Dank und Bitte münden in das Gebet des Herrn: Vater unser ...</w:t>
      </w:r>
    </w:p>
    <w:p>
      <w:pPr>
        <w:pStyle w:val="Textkrper"/>
        <w:pBdr>
          <w:top w:val="dashed" w:sz="3" w:space="2" w:color="000000"/>
          <w:left w:val="dashed" w:sz="3" w:space="1" w:color="000000"/>
          <w:bottom w:val="dashed" w:sz="3" w:space="4" w:color="000000"/>
          <w:right w:val="dashed" w:sz="3" w:space="1" w:color="000000"/>
        </w:pBdr>
        <w:spacing w:before="0" w:after="0"/>
        <w:ind w:left="142" w:right="142"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Danach folgen direkt das Danklied, die Vermeldungen, Segensbitte und Segen, Entlassung und evtl. Lied zum Auszug.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Darum bitten wir durch Christus, unseren Herrn.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Übertragung des Allerheiligsten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Wird aus pastoralen Gründen die Wortgottesfeier mit einer Kommunionspendung verbunden, wird wie vorgeschlagen vorgegangen. Der Zusammenhang zwischen Wortgottesdienst und Kommunionfeier wird durch die feierliche Übertragung des Allerheiligsten vom Tabernakel zum Altar deutlich gemacht. G spricht zuvor:</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haben das lebendige Wort Gottes gehört und gefeiert. Das eucharistische Brot, das uns jetzt geschenkt wird, verbindet uns mit der Eucharistiefeier*, die wir am vergangenen Sonntag (in der vergangenen Woche, im vergangenen Monat, am Fest …) hier zuletzt gefeiert haben.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 die heute in unserer Nachbargemeinde gefeiert wurde.)</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Die Gemeinde steht. G geht mit KH und zwei M, die brennende Leuchter tragen, zum Tabernakel, öffnet diesen und macht eine Kniebeuge, nimmt die Hostienschale aus dem Tabernakel und stellt sie in der Mitte des Altares ab. Danach machen G, KH und M eine Kniebeuge hinter dem Altar. Währenddessen singt die Gemeinde: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Lied, stille Anbetung und Vaterunser</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Veni Sancte Spiritus GL 345,1</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knien eine angemessene Zeit in stillem Gebet.</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Zum Vaterunser stehen alle auf.</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Lasset uns beten, wie der Herr uns zu beten gelehrt hat: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Vater unser im Himmel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Einladung zur Kommunion – Kommunion</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tritt an den Altar, macht eine Kniebeuge, nimmt die Hostienschale, wendet sich der Gemeinde zu, hält eine Hostie in die Höhe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Seht das Lamm Gottes,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seht Christus, das Wort, das Fleisch geworden ist.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Herr, ich bin nicht würdig</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und KH teilen die Kommunion aus. Sie zeigen allen, die die Kommunion empfangen, die Hostie mit den Worten: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Leib Christi.</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Während der Kommunionausteilung spielt der Organist/die Organistin die Orgel. Danach wird die Hostienschale in den Tabernakel zurückgestellt. Nach einer kurzen Stille: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Danklied und Dankgebet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Im Frieden dein, o Herre mein GL 216,1-3</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stehen auf. G spricht das Dankgebet vom Platz aus. G leitet ein: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Lasset uns beten.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Nach einer kurzen Stille breitet G die Arme aus und spricht: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Guter Gott,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mit ganz verschiedenen Gefühlen waren wir heute hier versammelt,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manche frohen Mutes, manche mühselig und beladen.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Gib, dass wir geeint durch deinen Geist nun gestärkt auseinandergehen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deine Frohe Botschaft leben.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Darum bitten wir durch Christus, unseren Herrn.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Vermeldungen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An dieser Stelle ist Raum für Vermeldungen an die Gemeinde.</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Segensbitte</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G spricht vom Platz aus den Segen. G leitet ein: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Wir bitten Gott um seinen Segen: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Herr segne uns und behüte uns.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Herr lasse sein Angesicht über uns leuchten und sei uns gnädig.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Herr wende uns sein Angesicht zu und schenke uns</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und allen, die uns am Herzen liegen, Frieden und Heil.</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So segne und begleite uns der lebendige Gott,</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Kreuzzeichen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Vater und der Sohn und der Heilige Geist.</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Amen.</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160"/>
        <w:ind w:left="0" w:right="0" w:firstLine="0"/>
        <w:jc w:val="left"/>
        <w:rPr>
          <w:rFonts w:ascii="Aller" w:hAnsi="Aller"/>
          <w:b w:val="0"/>
          <w:i w:val="0"/>
          <w:caps w:val="0"/>
          <w:smallCaps w:val="0"/>
          <w:strike w:val="0"/>
          <w:dstrike w:val="0"/>
          <w:sz w:val="36"/>
          <w:u w:val="none"/>
          <w:effect w:val="none"/>
        </w:rPr>
      </w:pPr>
      <w:r>
        <w:rPr>
          <w:rFonts w:ascii="Aller" w:hAnsi="Aller"/>
          <w:b w:val="0"/>
          <w:i w:val="0"/>
          <w:caps w:val="0"/>
          <w:smallCaps w:val="0"/>
          <w:strike w:val="0"/>
          <w:dstrike w:val="0"/>
          <w:sz w:val="36"/>
          <w:u w:val="none"/>
          <w:effect w:val="none"/>
        </w:rPr>
        <w:t>Entlassung, Lied und Auszug</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Lasst uns nun gehen in seinem Frieden.</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Gemeinde: Dank sei Gott, dem Herrn.</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both"/>
        <w:rPr>
          <w:rFonts w:ascii="Aller" w:hAnsi="Aller"/>
          <w:b w:val="0"/>
          <w:i w:val="0"/>
          <w:caps w:val="0"/>
          <w:smallCaps w:val="0"/>
          <w:strike w:val="0"/>
          <w:dstrike w:val="0"/>
          <w:sz w:val="22"/>
          <w:u w:val="none"/>
          <w:effect w:val="none"/>
        </w:rPr>
      </w:pPr>
      <w:r>
        <w:rPr>
          <w:rFonts w:ascii="Aller" w:hAnsi="Aller"/>
          <w:b w:val="0"/>
          <w:i w:val="0"/>
          <w:caps w:val="0"/>
          <w:smallCaps w:val="0"/>
          <w:strike w:val="0"/>
          <w:dstrike w:val="0"/>
          <w:sz w:val="22"/>
          <w:u w:val="none"/>
          <w:effect w:val="none"/>
        </w:rPr>
        <w:t>Der Herr wird dich mit seiner Güte segnen GL 452,4-7</w:t>
      </w:r>
    </w:p>
    <w:p>
      <w:pPr>
        <w:pStyle w:val="Textkrper"/>
        <w:spacing w:before="0" w:after="0"/>
        <w:ind w:left="0" w:right="0" w:firstLine="0"/>
        <w:jc w:val="left"/>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500" w:right="0" w:firstLine="0"/>
        <w:jc w:val="left"/>
        <w:rPr>
          <w:rFonts w:ascii="Aller" w:hAnsi="Aller"/>
          <w:b w:val="0"/>
          <w:i/>
          <w:caps w:val="0"/>
          <w:smallCaps w:val="0"/>
          <w:strike w:val="0"/>
          <w:dstrike w:val="0"/>
          <w:sz w:val="18"/>
          <w:u w:val="none"/>
          <w:effect w:val="none"/>
        </w:rPr>
      </w:pPr>
      <w:r>
        <w:rPr>
          <w:rFonts w:ascii="Aller" w:hAnsi="Aller"/>
          <w:b w:val="0"/>
          <w:i/>
          <w:caps w:val="0"/>
          <w:smallCaps w:val="0"/>
          <w:strike w:val="0"/>
          <w:dstrike w:val="0"/>
          <w:sz w:val="18"/>
          <w:u w:val="none"/>
          <w:effect w:val="none"/>
        </w:rPr>
        <w:t>Alle, die einen liturgischen Dienst wahrgenommen haben, gehen vor den Altar, machen gemeinsam eine Verneigung (Kniebeuge, wenn Tabernakel in Blickrichtung) und gehen in die Sakristei. Der Organist/die Organistin spielt ein Nachspiel.</w:t>
      </w:r>
    </w:p>
    <w:p>
      <w:pPr>
        <w:pStyle w:val="Textkrper"/>
        <w:spacing w:before="0" w:after="0"/>
        <w:ind w:left="0" w:right="0" w:firstLine="0"/>
        <w:jc w:val="both"/>
        <w:rPr>
          <w:caps w:val="0"/>
          <w:smallCaps w:val="0"/>
          <w:strike w:val="0"/>
          <w:dstrike w:val="0"/>
          <w:u w:val="none"/>
          <w:effect w:val="none"/>
        </w:rPr>
      </w:pPr>
      <w:r>
        <w:rPr>
          <w:caps w:val="0"/>
          <w:smallCaps w:val="0"/>
          <w:strike w:val="0"/>
          <w:dstrike w:val="0"/>
          <w:u w:val="none"/>
          <w:effect w:val="none"/>
        </w:rPr>
        <w:t> </w:t>
      </w:r>
    </w:p>
    <w:p>
      <w:pPr>
        <w:pStyle w:val="Textkrper"/>
        <w:spacing w:before="0" w:after="0"/>
        <w:ind w:left="0" w:right="0" w:firstLine="0"/>
        <w:jc w:val="left"/>
        <w:rPr>
          <w:rFonts w:ascii="Aller" w:hAnsi="Aller"/>
          <w:b w:val="0"/>
          <w:i/>
          <w:caps w:val="0"/>
          <w:smallCaps w:val="0"/>
          <w:strike w:val="0"/>
          <w:dstrike w:val="0"/>
          <w:sz w:val="16"/>
          <w:u w:val="none"/>
          <w:effect w:val="none"/>
        </w:rPr>
      </w:pPr>
      <w:r>
        <w:rPr>
          <w:rFonts w:ascii="Aller" w:hAnsi="Aller"/>
          <w:b w:val="0"/>
          <w:i/>
          <w:caps w:val="0"/>
          <w:smallCaps w:val="0"/>
          <w:strike w:val="0"/>
          <w:dstrike w:val="0"/>
          <w:sz w:val="16"/>
          <w:u w:val="none"/>
          <w:effect w:val="none"/>
        </w:rPr>
        <w:t>Entwurf: Stephan Walter</w:t>
      </w:r>
    </w:p>
    <w:p>
      <w:pPr>
        <w:pStyle w:val="Textkrper"/>
        <w:spacing w:before="0" w:after="283"/>
      </w:pPr>
      <w:r>
        <w:t> </w:t>
      </w:r>
    </w:p>
    <w:sectPr>
      <w:type w:val="nextPage"/>
      <w:pgSz w:w="16838" w:h="11906" w:orient="landscape"/>
      <w:pgMar w:top="850" w:right="850" w:bottom="850" w:left="850" w:header="0" w:footer="0" w:gutter="0"/>
      <w:pgNumType w:fmt="decimal"/>
      <w:cols w:num="2" w:sep="0" w:space="850" w:equalWidth="1"/>
      <w:formProt w:val="0"/>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horndale">
    <w:altName w:val="Times New Roman"/>
    <w:charset w:val="00"/>
    <w:family w:val="roman"/>
    <w:pitch w:val="variable"/>
  </w:font>
  <w:font w:name="Albany">
    <w:altName w:val="Arial"/>
    <w:charset w:val="00"/>
    <w:family w:val="swiss"/>
    <w:pitch w:val="variable"/>
  </w:font>
  <w:font w:name="Aller">
    <w:charset w:val="00"/>
    <w:family w:val="auto"/>
    <w:pitch w:val="default"/>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 w:val="24"/>
        <w:szCs w:val="24"/>
        <w:lang w:val="de-D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SimSun" w:hAnsi="Liberation Serif" w:cs="Arial"/>
      <w:color w:val="auto"/>
      <w:sz w:val="24"/>
      <w:szCs w:val="24"/>
      <w:lang w:val="de-DE" w:eastAsia="zh-CN" w:bidi="hi-IN"/>
    </w:rPr>
  </w:style>
  <w:style w:type="character" w:default="1" w:styleId="DefaultParagraphFont">
    <w:name w:val="Default Paragraph Font"/>
    <w:uiPriority w:val="1"/>
    <w:semiHidden/>
    <w:unhideWhenUsed/>
  </w:style>
  <w:style w:type="paragraph" w:customStyle="1" w:styleId="berschrift1">
    <w:name w:val="Überschrift 1"/>
    <w:basedOn w:val="berschrift"/>
    <w:next w:val="Textkrper"/>
    <w:rPr>
      <w:rFonts w:ascii="Thorndale" w:hAnsi="Thorndale"/>
      <w:b/>
      <w:bCs/>
      <w:sz w:val="48"/>
      <w:szCs w:val="44"/>
    </w:rPr>
  </w:style>
  <w:style w:type="character" w:customStyle="1" w:styleId="Endnotenzeichen">
    <w:name w:val="Endnotenzeichen"/>
    <w:qFormat/>
  </w:style>
  <w:style w:type="character" w:customStyle="1" w:styleId="Funotenzeichen">
    <w:name w:val="Fußnotenzeichen"/>
    <w:qFormat/>
  </w:style>
  <w:style w:type="character" w:customStyle="1" w:styleId="Internetlink">
    <w:name w:val="Internetlink"/>
    <w:rPr>
      <w:color w:val="000080"/>
      <w:u w:val="single"/>
    </w:rPr>
  </w:style>
  <w:style w:type="paragraph" w:customStyle="1" w:styleId="HorizontaleLinie">
    <w:name w:val="Horizontale Linie"/>
    <w:basedOn w:val="Normal"/>
    <w:next w:val="Textkrper"/>
    <w:qFormat/>
    <w:pPr>
      <w:pBdr>
        <w:bottom w:val="double" w:sz="2" w:space="0" w:color="808080"/>
      </w:pBdr>
      <w:spacing w:before="0" w:after="283"/>
    </w:pPr>
    <w:rPr>
      <w:sz w:val="12"/>
    </w:rPr>
  </w:style>
  <w:style w:type="paragraph" w:customStyle="1" w:styleId="Absender">
    <w:name w:val="Absender"/>
    <w:basedOn w:val="Normal"/>
    <w:rPr>
      <w:i/>
    </w:rPr>
  </w:style>
  <w:style w:type="paragraph" w:customStyle="1" w:styleId="TabellenInhalt">
    <w:name w:val="Tabellen Inhalt"/>
    <w:basedOn w:val="Textkrper"/>
    <w:qFormat/>
  </w:style>
  <w:style w:type="paragraph" w:customStyle="1" w:styleId="Fuzeile">
    <w:name w:val="Fußzeile"/>
    <w:basedOn w:val="Normal"/>
    <w:pPr>
      <w:suppressLineNumbers/>
      <w:tabs>
        <w:tab w:val="center" w:pos="4818"/>
        <w:tab w:val="right" w:pos="9637"/>
      </w:tabs>
    </w:pPr>
  </w:style>
  <w:style w:type="paragraph" w:customStyle="1" w:styleId="Kopfzeile">
    <w:name w:val="Kopfzeile"/>
    <w:basedOn w:val="Normal"/>
    <w:pPr>
      <w:suppressLineNumbers/>
      <w:tabs>
        <w:tab w:val="center" w:pos="4818"/>
        <w:tab w:val="right" w:pos="9637"/>
      </w:tabs>
    </w:pPr>
  </w:style>
  <w:style w:type="paragraph" w:customStyle="1" w:styleId="Verzeichnis">
    <w:name w:val="Verzeichnis"/>
    <w:basedOn w:val="Normal"/>
    <w:qFormat/>
    <w:pPr>
      <w:suppressLineNumbers/>
    </w:pPr>
    <w:rPr>
      <w:rFonts w:cs="Arial"/>
    </w:rPr>
  </w:style>
  <w:style w:type="paragraph" w:customStyle="1" w:styleId="Beschriftung">
    <w:name w:val="Beschriftung"/>
    <w:basedOn w:val="Normal"/>
    <w:pPr>
      <w:suppressLineNumbers/>
      <w:spacing w:before="120" w:after="120"/>
    </w:pPr>
    <w:rPr>
      <w:rFonts w:cs="Arial"/>
      <w:i/>
      <w:iCs/>
      <w:sz w:val="24"/>
      <w:szCs w:val="24"/>
    </w:rPr>
  </w:style>
  <w:style w:type="paragraph" w:customStyle="1" w:styleId="Liste">
    <w:name w:val="Liste"/>
    <w:basedOn w:val="Textkrper"/>
    <w:rPr>
      <w:rFonts w:cs="Arial"/>
    </w:rPr>
  </w:style>
  <w:style w:type="paragraph" w:customStyle="1" w:styleId="Textkrper">
    <w:name w:val="Textkörper"/>
    <w:basedOn w:val="Normal"/>
    <w:pPr>
      <w:spacing w:before="0" w:after="0"/>
      <w:ind w:right="0" w:firstLine="0"/>
    </w:pPr>
  </w:style>
  <w:style w:type="paragraph" w:customStyle="1" w:styleId="berschrift">
    <w:name w:val="Überschrift"/>
    <w:basedOn w:val="Normal"/>
    <w:next w:val="Textkrper"/>
    <w:qFormat/>
    <w:pPr>
      <w:keepNext/>
      <w:spacing w:before="240" w:after="283"/>
    </w:pPr>
    <w:rPr>
      <w:rFonts w:ascii="Albany" w:hAnsi="Albany"/>
      <w:sz w:val="28"/>
      <w:szCs w:val="28"/>
    </w:rPr>
  </w:style>
  <w:style w:type="paragraph" w:customStyle="1" w:styleId="Tabellenberschrift">
    <w:name w:val="Tabellen Überschrift"/>
    <w:basedOn w:val="TabellenInhalt"/>
    <w:qFormat/>
    <w:pPr>
      <w:suppressLineNumbers/>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Noxum HTML Publisher Output</dc:title>
  <cp:revision>0</cp:revision>
  <dc:language>de-DE</dc:language>
</cp:coreProperties>
</file>