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pPr>
        <w:pStyle w:val="Textkrper"/>
        <w:spacing w:before="0" w:after="0"/>
        <w:ind w:left="0" w:right="0" w:firstLine="0"/>
        <w:jc w:val="left"/>
        <w:rPr>
          <w:rFonts w:ascii="Aller" w:hAnsi="Aller"/>
          <w:b w:val="0"/>
          <w:i w:val="0"/>
          <w:caps w:val="0"/>
          <w:smallCaps w:val="0"/>
          <w:strike w:val="0"/>
          <w:dstrike w:val="0"/>
          <w:sz w:val="20"/>
          <w:u w:val="none"/>
          <w:effect w:val="none"/>
        </w:rPr>
      </w:pPr>
      <w:r>
        <w:rPr>
          <w:rFonts w:ascii="Aller" w:hAnsi="Aller"/>
          <w:b w:val="0"/>
          <w:i w:val="0"/>
          <w:caps w:val="0"/>
          <w:smallCaps w:val="0"/>
          <w:strike w:val="0"/>
          <w:dstrike w:val="0"/>
          <w:sz w:val="20"/>
          <w:u w:val="none"/>
          <w:effect w:val="none"/>
        </w:rPr>
        <w:t>WORTGOTTESFEIER</w:t>
      </w:r>
    </w:p>
    <w:p>
      <w:pPr>
        <w:pStyle w:val="Textkrper"/>
        <w:spacing w:before="0" w:after="0"/>
        <w:ind w:left="0" w:right="0" w:firstLine="0"/>
        <w:jc w:val="left"/>
        <w:rPr>
          <w:rFonts w:ascii="Aller" w:hAnsi="Aller"/>
          <w:b/>
          <w:i w:val="0"/>
          <w:caps w:val="0"/>
          <w:smallCaps w:val="0"/>
          <w:strike w:val="0"/>
          <w:dstrike w:val="0"/>
          <w:sz w:val="52"/>
          <w:u w:val="none"/>
          <w:effect w:val="none"/>
        </w:rPr>
      </w:pPr>
      <w:r>
        <w:rPr>
          <w:rFonts w:ascii="Aller" w:hAnsi="Aller"/>
          <w:b/>
          <w:i w:val="0"/>
          <w:caps w:val="0"/>
          <w:smallCaps w:val="0"/>
          <w:strike w:val="0"/>
          <w:dstrike w:val="0"/>
          <w:sz w:val="52"/>
          <w:u w:val="none"/>
          <w:effect w:val="none"/>
        </w:rPr>
        <w:t>21. Sonntag im Jahreskreis</w:t>
      </w:r>
    </w:p>
    <w:p>
      <w:pPr>
        <w:pStyle w:val="Textkrper"/>
        <w:spacing w:before="0" w:after="0"/>
        <w:ind w:left="0" w:right="0" w:firstLine="0"/>
        <w:jc w:val="both"/>
        <w:rPr>
          <w:rFonts w:ascii="Aller" w:hAnsi="Aller"/>
          <w:b w:val="0"/>
          <w:i w:val="0"/>
          <w:caps w:val="0"/>
          <w:smallCaps w:val="0"/>
          <w:strike w:val="0"/>
          <w:dstrike w:val="0"/>
          <w:sz w:val="20"/>
          <w:u w:val="none"/>
          <w:effect w:val="none"/>
        </w:rPr>
      </w:pPr>
      <w:r>
        <w:rPr>
          <w:rFonts w:ascii="Aller" w:hAnsi="Aller"/>
          <w:b w:val="0"/>
          <w:i w:val="0"/>
          <w:caps w:val="0"/>
          <w:smallCaps w:val="0"/>
          <w:strike w:val="0"/>
          <w:dstrike w:val="0"/>
          <w:sz w:val="20"/>
          <w:u w:val="none"/>
          <w:effect w:val="none"/>
        </w:rPr>
        <w:t>\ Lesejahr A \ ( 2026-21So-A )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Einzug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das Orgelvorspiel erklingt, ziehen Gottesdienstleiter/-in (G), Ministranten und Ministrantinnen (M), Lektoren und Lektorinnen (L), Kantor/-in (K) und – falls benötigt – Kommunionhelfer/-in (KH) in die Kirche ein, verneigen sich vor dem Altar (Kniebeuge nur, wenn der Tabernakel im Sichtfeld ist) und gehen zu ihren Plätzen; alle – auch die Gemeinde – stehen bis nach dem Eröffnungsgebet.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Lied zur Eröffnung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ruft sein Volk zusammen GL 477</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Kreuzzeichen – Liturgischer Gruß</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eröffnet den Gottesdienst mit dem Kreuzzeichen, spricht die Einführung und betet Christusrufe und Eröffnungsgebet vor (nur wenn bei den Sitzen kein Mikrofon ist, spricht er/sie vom Ambo aus).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Seien sie willkommen zu unserem Gottesdienst am 21. Sonntag im Jahreskreis. Wir feiern im Zeichen dessen, der uns über alle Unterschiede hinweg verbindet: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Namen des Vaters und des Sohnes und des Heiligen Geistes.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Name des Herrn sei gepriesen.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Von nun an bis in Ewigkeit.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w:t>
      </w:r>
      <w:r>
        <w:rPr>
          <w:rFonts w:ascii="Aller" w:hAnsi="Aller"/>
          <w:b w:val="0"/>
          <w:i w:val="0"/>
          <w:caps w:val="0"/>
          <w:smallCaps w:val="0"/>
          <w:strike w:val="0"/>
          <w:dstrike w:val="0"/>
          <w:sz w:val="22"/>
          <w:u w:val="none"/>
          <w:effect w:val="none"/>
        </w:rPr>
        <w:t>Für wen gehst du?“ Mit dieser Frage bringt in einer jüdischen Weisheitsgeschichte ein einfacher Sklave einen Rabbi zum Nachdenken. Für wen machst du dich auf den Weg? An wem richtest du dich aus? Wer darf dir einen Weg zeigen? Mit der gemeinsamen Feier dieses Gottesdienstes gehen wir ein Stück des Weges miteinander. Unser gemeinsamer Orientierungspunkt heißt Jesus Christus. Mit ihm und miteinander sind wir unterwegs und bitten zu Beginn unserer Feier um das Erbarmen Gottes: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Kurze Stille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Christusrufe – Kyrie-Litanei</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Jesus Christus, du führst uns zusammen aus unterschiedlichen Orten und Situationen. – Herr, erbarme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erbarme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bist die Mitte unserer Gemeinschaft und schenkst uns Sinn und Ziel. – Christus, erbarme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Christus, erbarme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 bleibst treu in all unserem Suchen und Ringen. – Herr, erbarme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erbarme dich.</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Eröffnungsgebet</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leitet ein und hält eine kurze Stille.</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Lasset uns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und die Gemeinde sammeln sich zum Gebet, dann spricht 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Leben und Wirken Jesu hast du der Welt ein Beispiel gegeben.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In ihm hast du uns gezeigt, wie Menschen gut miteinander leben können. Lass uns seinen Worten und Taten folgen: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ausgerichtet auf dich, unseren Vater,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mit offenen Augen für unsere Nächsten.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 uns in dieser Treue Gottesdienst feiern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so dich loben durch Jesus Christus,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deinen Sohn, unseren Herrn und Gott,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mit dir und dem Heiligen Geist lebt und wirkt in alle Ewigkeit.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 in die erste Lesung</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Einführungen werden von L1 vom Platz und die Lesungen von L2 vom Ambo aus vorgetragen. Die Gemeinde setzt sich.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Wer die Schlüsselgewalt besitzt, trägt auch Verantwortung. In der Lesung aus dem Buch Jesaja wird diese Verantwortung von einem untreuen auf einen anderen Palastvorsteher übertragen. Diese Verantwortung ist nicht bloße Macht, sondern vor allem Verpflichtung.</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Erste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Lesung aus dem Buch Jesaja.</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Jes 22,19-23 (Schott-Messbuch für Sonn- und Festtage, Lesejahr A, Seite 562).</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Vortrag der Lesung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Wort des lebendigen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Antwortgesang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Mein Herz hängt treu und feste GL 543,3+4</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Einführung in die zweite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Text der zweiten Lesung steht am Ende der Ausführungen des Apostels Paulus zum Unglauben des Volkes Israel. So betont er: Gottes unermessliche Größe liegt in seiner Unegründlichkeit. Durch ihn und auf ihn hin ist die ganze Schöpfung ausgerichtet.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Zweite Lesung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Lesung aus dem Brief des Apostels Paulus an die Gemeinde in Rom.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Röm 11,33-36 (Schott-Messbuch für Sonn- und Festtage, Lesejahr A, Seite 563).</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Vortrag der Lesung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Wort des lebendigen Gottes.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Ruf vor dem Evangelium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steht auf. K singt das Halleluja, die Gemeinde wiederholt es.</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Anschließend singt oder liest K den Vers. Am Ende wiederholt die Gemeinde das Halleluja.</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Halleluja, Halleluja. GL 174,3</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(So spricht der Herr:) Du bist Petrus – , Fels, und auf diesen Felsen werde ich meine Kirche bauen und die Pforten der Unterwelt werden sie nicht überwältigen.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Halleluja, Halleluja. GL 174,3</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Evangelium</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der Wiederholung des Hallelujarufes geht G zum Altar und verneigt sich, nimmt das Evangelienbuch vom Altar und trägt es zum Ambo; zwei M mit brennenden Kerzen begleiten G. G breitet die Arme aus und spricht: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Aus dem Heiligen Evangelium nach Matthäus.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 auf Buch, Stirn, Mund und Brust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Ehre sei dir, o Herr.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Mt 16,13-20 (Schott-Messbuch für Sonn- und Festtage, Lesejahr A, Seite 564f.).</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Vortrag des Evangeliums endet mit dem 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Evangelium unseres Herrn Jesus Christus.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Lob sei dir, Christus.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Der Hallelujaruf kann an dieser Stelle wiederholt werden.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setzt sich, die M stellen die Leuchter wieder an den Altar.</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Auslegung und Deutung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Liebe Schwestern und Brüder!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Verantwortliche in Kirchengemeinden und Vereinen kennen es zu Genüge: Menschen, die sich verbindlich festlegen sind ein rares Gut geworden. Ob jemand mitmacht, entscheidet sich oft genug in der letzten Minute: Wer kann heute schon sagen, was übernächste Woche noch in die eigenen Pläne passt?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In einer Welt der Freiheit und der unzähligen Möglichkeiten wird Verbindlichkeit zur Herausforderung. Sie wird eher als Last, denn als Halt erlebt. Unter dieser Spannung findet sich auch der Glaube wieder. Kann und will ich mich in Glaubensfragen überhaupt festlegen? Was soll es überhaupt bringen, auch im Glauben verbindlich zu sein?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Eine Sache muss ich mir klar ,machen: Entgegen aller vermeintlich grenzenlosen Unabhängigkeit setze ich jeden Tag auf Verbindlichkeit in der Welt. Im banalsten Fall gehe ich an der Kreuzung davon aus, dass für alle Verkehrsteilnehmer rotes und grünes Ampellicht eine verbindliche Aussage darstellt. Und genauso baue ich im zwischenmenschlichen Bereich darauf, dass ein gegebenes Versprechen auch ohne ständige Überprüfungen der Rahmenbedingungen seine Gültigkeit hat. So ganz ohne Verbindlichkeit scheint unser Miteinander von vornherein nicht auszukommen. Wer rote Ampeln oder gegebene Versprechen auch für sich selber als verbindlich erachtet, versucht dadurch einen persönlichen Wert zu verwirklichen: Etwa das Leben der Mitmenschen nicht zu gefährden oder die Treue zu einem anderen zu leben. Verbindlichkeit ist eine Form der Selbstverpflichtung, die Auswirkungen auf mich und mein Handeln hat. Aber wie anders sollte ich Werte verwirklichen, die ich für schützenswert halte?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Das heutige Evangelium wirft die Frage nach der Verbindlichkeit im Glauben auf. Jesus fordert die Jünger geradezu zur Verbindlichkeit heraus: Für wen haltet ihr mich? Sie sollen Farbe bekennen, können sich nicht darauf berufen, was „die Leute“ so sagen. Sie sind gemeint! Petrus legt sich als erster fest: „Du bist der Christus, der Sohn des lebendigen Gottes!“ Auch er wird erfahren, dass diese Festlegung auf eine Überzeugung Herausforderungen birgt: Er wird ringen, er wird scheitern – und manchmal sogar über sich selbst hinauswachsen. An diesem Bekenntnis wird er sich messen lassen müssen und es wird den Rest seines Lebens prägen. Ob Petrus sich deswegen unfrei gefühlt hat? Oder ob er am Ende doch froh war, eine Art Leuchtturm im Leben zu haben, der ihm Orientierung gibt? Etwas, das auch seinem Leben Gestalt und Bedeutung gibt?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Dieses Beispiel des Petrus kann auch uns Mut machen: Verbindlich den Glauben zu leben, macht nicht unfrei. Es bringt mich zum Nachdenken, manchmal auch zum Ringen und lässt mich hoffentlich gelegentlich auch über mich selbst hinauswachsen. Ein Leben aus dem Glauben gibt mir die innere Kraft, auch dann meiner inneren Stimme zu folgen, wenn die Stimmen der Welt so ganz anderes erzählen. Sich wie Petrus im Glauben festzulegen, ist keine Aufgabe der eigenen Freiheit. Im Gegenteil. Es ist das Grundbekenntnis zu einer Idee von Mensch und Welt, in der auch mein persönliches Zeugnis zählt. Für wen hältst du mich? Die Antwort darauf wird Auswirkungen auf mein Leben haben. Aber in ihr scheint mein persönlicher Leuchtturm auf, der mir auch in den Stürmen des Lebens Werte und Halt gibt. Mögen wir am Ende unseres Weges erfahren, dass Gott uns so ebenfalls so treu geblieben ist wie dem Petrus.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Nach der Auslegung geht G zurück zum Platz und setzt sich. Nach einer </w:t>
      </w:r>
      <w:r>
        <w:rPr>
          <w:rFonts w:ascii="Aller" w:hAnsi="Aller"/>
          <w:b/>
          <w:i/>
          <w:caps w:val="0"/>
          <w:smallCaps w:val="0"/>
          <w:strike w:val="0"/>
          <w:dstrike w:val="0"/>
          <w:sz w:val="18"/>
          <w:u w:val="none"/>
          <w:effect w:val="none"/>
        </w:rPr>
        <w:t>angemessenen Zeit der Stille</w:t>
      </w:r>
      <w:r>
        <w:rPr>
          <w:rFonts w:ascii="Aller" w:hAnsi="Aller"/>
          <w:b w:val="0"/>
          <w:i/>
          <w:caps w:val="0"/>
          <w:smallCaps w:val="0"/>
          <w:strike w:val="0"/>
          <w:dstrike w:val="0"/>
          <w:sz w:val="18"/>
          <w:u w:val="none"/>
          <w:effect w:val="none"/>
        </w:rPr>
        <w:t xml:space="preserve"> stehen alle zur Antwort der Gemeinde auf.</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Antwort der Gemeinde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Auf Gottes Wort wollen wir Antwort geben, indem wir uns unserer Taufe erinnern und gemeinsam unser Bekenntnis erneuern.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Taufgedächtnis (Form B)</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Wort-Gottes-Feier. Werkbuch für Sonn- und Festtage, Trier 2004, Seite 188.</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Durch die Taufe sind wir mit Gott verbunden: Aus dieser Nähe dürfen wir leben und uns als Söhne und Töchter mit ihm und untereinander verbunden wissen.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8"/>
          <w:u w:val="none"/>
          <w:effect w:val="none"/>
        </w:rPr>
      </w:pPr>
      <w:r>
        <w:rPr>
          <w:rFonts w:ascii="Aller" w:hAnsi="Aller"/>
          <w:b w:val="0"/>
          <w:i w:val="0"/>
          <w:caps w:val="0"/>
          <w:smallCaps w:val="0"/>
          <w:strike w:val="0"/>
          <w:dstrike w:val="0"/>
          <w:sz w:val="28"/>
          <w:u w:val="none"/>
          <w:effect w:val="none"/>
        </w:rPr>
        <w:t>Lobpreis Gottes über dem Wasser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geht mit den anderen liturgischen Diensten zum Taufort oder es wird ein geeignetes Gefäß mit Wasser gebracht. G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Sei gepriesen, Gott, unser Vater,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Wasser der Taufe erneuerst du unser Leben.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loben dich und preisen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loben dich und preisen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Namen deines Sohnes Jesus Christus sind wir getauft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Wasser und im Heiligen Geist als dein heiliges Volk.</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loben dich und preisen dich.</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Im Geist deiner Liebe schenkst du uns den wahren Frieden,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den wir selbst nicht machen können.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loben dich und preisen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In unserer Taufe hast du uns auserwählt,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 frohe Botschaft deiner Liebe zu verkünden und zu leben.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Wir loben dich und preisen dich.</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8"/>
          <w:u w:val="none"/>
          <w:effect w:val="none"/>
        </w:rPr>
      </w:pPr>
      <w:r>
        <w:rPr>
          <w:rFonts w:ascii="Aller" w:hAnsi="Aller"/>
          <w:b w:val="0"/>
          <w:i w:val="0"/>
          <w:caps w:val="0"/>
          <w:smallCaps w:val="0"/>
          <w:strike w:val="0"/>
          <w:dstrike w:val="0"/>
          <w:sz w:val="28"/>
          <w:u w:val="none"/>
          <w:effect w:val="none"/>
        </w:rPr>
        <w:t>Erneuerung des Taufbekenntnisses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lädt die Gemeinde ein zum Glaubensbekenntnis.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Benkennen wir nun gemeinsam den Glauben, auf den wir getauft sind.</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Ich glaube an Gott GL 3,4</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8"/>
          <w:u w:val="none"/>
          <w:effect w:val="none"/>
        </w:rPr>
      </w:pPr>
      <w:r>
        <w:rPr>
          <w:rFonts w:ascii="Aller" w:hAnsi="Aller"/>
          <w:b w:val="0"/>
          <w:i w:val="0"/>
          <w:caps w:val="0"/>
          <w:smallCaps w:val="0"/>
          <w:strike w:val="0"/>
          <w:dstrike w:val="0"/>
          <w:sz w:val="28"/>
          <w:u w:val="none"/>
          <w:effect w:val="none"/>
        </w:rPr>
        <w:t>Austeilung des Weihwassers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geht durch die Reihen und besprengt die Gottesndienstteilnehmenden in den Bänken mit dem gesegneten Wasser. Dazu singt die Gemeinde:</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Lasst uns loben, freudig loben GL 489</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Friedenszeichen und Kollekte</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Wenn nichts mehr verbindlich ist, verbindet uns nichts mehr. So wenden wir uns im gemeinsamen Glauben an Jesus Christus einander zu und schenken uns seinen Frieden weiter.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Friede des Herrn sei mitten unter uns.</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reichen einander die Hände und geben den Friedensgruß. G geht durch die Reihen und gibt ebenfalls den Frieden des Herrn weiter.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Die Verbundenheit, die wir im Friedensgruß bekundet haben, wollen wir in der Kollekte sichtbar zum Ausdruck bringen. Sie ist heute bestimmt für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gibt den Zweck der Kollekte bekannt, die M sammeln die Kollekte ein.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Dazu spielt der Organist/die Organistin die Orgel.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Fürbitten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spricht die Einleitung und den Schluss zu den Fürbitten. L trägt die Bitten vor. Die Gemeinde antwortet mit dem Liedruf: Du sei bei uns in unsrer Mitte, höre du uns, Gott,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Jesus Christus, wir bauen auf deine Treue. Im Gebet lassen wir Menschen und Anliegen in unserer Mitte sein, die wir dir besonders anvertrauen. Sei nahe und höre unser Rufen: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Für alle Menschen und Völker, die aufeinanderzugehen müssen und Wege zu einem friedlichen Miteinander suchen: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Du sei bei uns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Für jene, die in unserer Kirche Verantwortung tragen und alle Gläubigen in unseren Gemeinden in ihrem Bemühen, den Glauben in die Welt zu tragen.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Du sei bei uns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Für Partner und Freunde, deren Treue zueinander und zu gegebenen Versprechen auf die Probe gestellt wird.</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Du sei bei uns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Für alle Alten und Kranken, die schwere Lasten tragen müssen und an deiner Nähe zweifeln.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Du sei bei uns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Für uns selber in unserer persönlichen Suche nach Werten, die uns tragen.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Du sei bei uns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280" w:right="0" w:hanging="28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Für unsere Verstorbenen, die den Glauben an dich ihr ganzes Leben lang durchgetragen haben.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Du sei bei uns GL 182,2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 xml:space="preserve">Den folgenden Abschluss der Fürbitten betet G nur, wenn eine Kommunionfeier folgt. Findet </w:t>
      </w:r>
      <w:r>
        <w:rPr>
          <w:rFonts w:ascii="Aller" w:hAnsi="Aller"/>
          <w:b/>
          <w:i/>
          <w:caps w:val="0"/>
          <w:smallCaps w:val="0"/>
          <w:strike w:val="0"/>
          <w:dstrike w:val="0"/>
          <w:sz w:val="18"/>
          <w:u w:val="none"/>
          <w:effect w:val="none"/>
        </w:rPr>
        <w:t>keine Kommunionfeier</w:t>
      </w:r>
      <w:r>
        <w:rPr>
          <w:rFonts w:ascii="Aller" w:hAnsi="Aller"/>
          <w:b w:val="0"/>
          <w:i/>
          <w:caps w:val="0"/>
          <w:smallCaps w:val="0"/>
          <w:strike w:val="0"/>
          <w:dstrike w:val="0"/>
          <w:sz w:val="18"/>
          <w:u w:val="none"/>
          <w:effect w:val="none"/>
        </w:rPr>
        <w:t xml:space="preserve"> statt, schließt sich an die letzte Fürbitte das Vaterunser an. Es kann mit folgendem Satz übergeleitet werden:</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Dank und Bitte münden in das Gebet des Herrn: Vater unser ...</w:t>
      </w:r>
    </w:p>
    <w:p>
      <w:pPr>
        <w:pStyle w:val="Textkrper"/>
        <w:pBdr>
          <w:top w:val="dashed" w:sz="3" w:space="2" w:color="000000"/>
          <w:left w:val="dashed" w:sz="3" w:space="1" w:color="000000"/>
          <w:bottom w:val="dashed" w:sz="3" w:space="4" w:color="000000"/>
          <w:right w:val="dashed" w:sz="3" w:space="1" w:color="000000"/>
        </w:pBdr>
        <w:spacing w:before="0" w:after="0"/>
        <w:ind w:left="142" w:right="142"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Danach folgen direkt das Danklied, die Vermeldungen, Segensbitte und Segen, Entlassung und evtl. Lied zum Auszug.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Guter Gott, in dir finden wir Ruhe für unsere Seele. Deine Nähe geleite uns heute und alle Tage unseres Lebens.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Übertragung des Allerheiligsten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Wird aus pastoralen Gründen die Wortgottesfeier mit einer Kommunionspendung verbunden, wird wie vorgeschlagen vorgegangen. Der Zusammenhang zwischen Wortgottesdienst und Kommunionfeier wird durch die feierliche Übertragung des Allerheiligsten vom Tabernakel zum Altar deutlich gemacht. G spricht zuvor:</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Weg mit und zu Gott ist etwas Persönliches und zugleich Gemeinschaftliches. Im Brot des Lebens wendet er sich jedem von uns zu, damit wir gestärkt unseren gemeinsamen Weg weitergehen können. Im eucharistischen Brot, das uns jetzt geschenkt wird, sind wir verbunden mit jenen, die am vergangenen Sonntag (in der vergangenen Woche, im vergangenen Monat, am Fest …) Eucharistiefeier* gefeiert haben.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die heute in unserer Nachbargemeinde gefeiert haben.)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Die Gemeinde steht. G geht mit KH und zwei M, die brennende Leuchter tragen, zum Tabernakel, öffnet diesen und macht eine Kniebeuge, nimmt die Hostienschale aus dem Tabernakel und stellt sie in der Mitte des Altares ab. Danach machen G, KH und M eine Kniebeuge hinter dem Altar. Währenddessen singt die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Lied, stille Anbetung und Vaterunser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Meine Hoffnung und meine Freude, meine Stärke GL 365</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knien eine angemessene Zeit in stillem Gebet.</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Zum Vaterunser stehen alle auf.</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Verbinden wir uns mit den Worten Jesu zu einer Gemeinschaft,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die umeinander weiß und miteinander im Gebet vereint ist: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Vater unser im Himmel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Einladung zur Kommunion – Kommunion</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tritt an den Altar, macht eine Kniebeuge, nimmt die Hostienschale, wendet sich der Gemeinde zu, hält eine Hostie in die Höhe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Seht das Lamm Gottes, das hinwegnimmt Sünde und Leid dieser Welt.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Herr, ich bin nicht würdig</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und KH teilen die Kommunion aus. Sie zeigen allen, die die Kommunion empfangen, die Hostie mit den Worten: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Leib Christi.</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Während der Kommunionausteilung spielt der Organist/die Organistin die Orgel. Danach wird die Hostienschale in den Tabernakel zurückgestellt. Nach kurzer Stille: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Danklied und Dankgebet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Mein schönste Zier und Kleinod bist GL 361,1+2</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stehen auf. G spricht das Dankgebet vom Platz aus. G leitet ein: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Lasset uns beten.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Nach einer kurzen Stille breitet G die Arme aus und spricht:</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Herr, unser Gott,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danken dir für die Gemeinschaft mit dir und untereinander.</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Dein Wort gibt uns Richtung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und dein Brot stärkt uns für die Wege des Lebens.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Lass uns im Vertrauen in unseren Alltag gehen, dass du bei uns bist.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Gib uns den Mut, uns auch dann an dir auszurichten,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wenn alles dagegen zu sprechen scheint.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Darum bitten wir dich durch Jesus Christus, unseren Bruder und Herrn.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Vermeldungen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An dieser Stelle ist Raum für Vermeldungen an die Gemeinde.</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Segensbitte</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G spricht vom Platz aus den Segen. G leitet ein: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Wir bitten Gott um seinen Segen: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gebe uns die Gnade, ihm und den Menschen treu zu sein.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Er gebe uns die Kraft, diese Treue auch in Anfechtung zu leben.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Er schenke uns das Wissen, auch in schweren Zeiten</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von seiner Liebe getragen zu sein.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 xml:space="preserve">Dazu segne und bewahre uns der treue Gott, </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Kreuzzeichen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der Vater und der Sohn und der Heilige Geist.</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Amen.</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160"/>
        <w:ind w:left="0" w:right="0" w:firstLine="0"/>
        <w:jc w:val="left"/>
        <w:rPr>
          <w:rFonts w:ascii="Aller" w:hAnsi="Aller"/>
          <w:b w:val="0"/>
          <w:i w:val="0"/>
          <w:caps w:val="0"/>
          <w:smallCaps w:val="0"/>
          <w:strike w:val="0"/>
          <w:dstrike w:val="0"/>
          <w:sz w:val="36"/>
          <w:u w:val="none"/>
          <w:effect w:val="none"/>
        </w:rPr>
      </w:pPr>
      <w:r>
        <w:rPr>
          <w:rFonts w:ascii="Aller" w:hAnsi="Aller"/>
          <w:b w:val="0"/>
          <w:i w:val="0"/>
          <w:caps w:val="0"/>
          <w:smallCaps w:val="0"/>
          <w:strike w:val="0"/>
          <w:dstrike w:val="0"/>
          <w:sz w:val="36"/>
          <w:u w:val="none"/>
          <w:effect w:val="none"/>
        </w:rPr>
        <w:t>Entlassung, Lied und Auszug</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Singet Lob und Preis.</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Gemeinde: Dank sei Gott, dem Herrn.</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both"/>
        <w:rPr>
          <w:rFonts w:ascii="Aller" w:hAnsi="Aller"/>
          <w:b w:val="0"/>
          <w:i w:val="0"/>
          <w:caps w:val="0"/>
          <w:smallCaps w:val="0"/>
          <w:strike w:val="0"/>
          <w:dstrike w:val="0"/>
          <w:sz w:val="22"/>
          <w:u w:val="none"/>
          <w:effect w:val="none"/>
        </w:rPr>
      </w:pPr>
      <w:r>
        <w:rPr>
          <w:rFonts w:ascii="Aller" w:hAnsi="Aller"/>
          <w:b w:val="0"/>
          <w:i w:val="0"/>
          <w:caps w:val="0"/>
          <w:smallCaps w:val="0"/>
          <w:strike w:val="0"/>
          <w:dstrike w:val="0"/>
          <w:sz w:val="22"/>
          <w:u w:val="none"/>
          <w:effect w:val="none"/>
        </w:rPr>
        <w:t>Gott gab uns Atem GL 468</w:t>
      </w:r>
    </w:p>
    <w:p>
      <w:pPr>
        <w:pStyle w:val="Textkrper"/>
        <w:spacing w:before="0" w:after="0"/>
        <w:ind w:left="0" w:right="0" w:firstLine="0"/>
        <w:jc w:val="left"/>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500" w:right="0" w:firstLine="0"/>
        <w:jc w:val="left"/>
        <w:rPr>
          <w:rFonts w:ascii="Aller" w:hAnsi="Aller"/>
          <w:b w:val="0"/>
          <w:i/>
          <w:caps w:val="0"/>
          <w:smallCaps w:val="0"/>
          <w:strike w:val="0"/>
          <w:dstrike w:val="0"/>
          <w:sz w:val="18"/>
          <w:u w:val="none"/>
          <w:effect w:val="none"/>
        </w:rPr>
      </w:pPr>
      <w:r>
        <w:rPr>
          <w:rFonts w:ascii="Aller" w:hAnsi="Aller"/>
          <w:b w:val="0"/>
          <w:i/>
          <w:caps w:val="0"/>
          <w:smallCaps w:val="0"/>
          <w:strike w:val="0"/>
          <w:dstrike w:val="0"/>
          <w:sz w:val="18"/>
          <w:u w:val="none"/>
          <w:effect w:val="none"/>
        </w:rPr>
        <w:t>Alle, die einen liturgischen Dienst wahrgenommen haben, gehen vor den Altar, machen gemeinsam eine Verneigung (Kniebeuge, wenn Tabernakel in Blickrichtung) und gehen in die Sakristei. Der Organist/die Organistin spielt ein Nachspiel.</w:t>
      </w:r>
    </w:p>
    <w:p>
      <w:pPr>
        <w:pStyle w:val="Textkrper"/>
        <w:spacing w:before="0" w:after="0"/>
        <w:ind w:left="0" w:right="0" w:firstLine="0"/>
        <w:jc w:val="both"/>
        <w:rPr>
          <w:caps w:val="0"/>
          <w:smallCaps w:val="0"/>
          <w:strike w:val="0"/>
          <w:dstrike w:val="0"/>
          <w:u w:val="none"/>
          <w:effect w:val="none"/>
        </w:rPr>
      </w:pPr>
      <w:r>
        <w:rPr>
          <w:caps w:val="0"/>
          <w:smallCaps w:val="0"/>
          <w:strike w:val="0"/>
          <w:dstrike w:val="0"/>
          <w:u w:val="none"/>
          <w:effect w:val="none"/>
        </w:rPr>
        <w:t> </w:t>
      </w:r>
    </w:p>
    <w:p>
      <w:pPr>
        <w:pStyle w:val="Textkrper"/>
        <w:spacing w:before="0" w:after="0"/>
        <w:ind w:left="0" w:right="0" w:firstLine="0"/>
        <w:jc w:val="left"/>
        <w:rPr>
          <w:rFonts w:ascii="Aller" w:hAnsi="Aller"/>
          <w:b w:val="0"/>
          <w:i/>
          <w:caps w:val="0"/>
          <w:smallCaps w:val="0"/>
          <w:strike w:val="0"/>
          <w:dstrike w:val="0"/>
          <w:sz w:val="16"/>
          <w:u w:val="none"/>
          <w:effect w:val="none"/>
        </w:rPr>
      </w:pPr>
      <w:r>
        <w:rPr>
          <w:rFonts w:ascii="Aller" w:hAnsi="Aller"/>
          <w:b w:val="0"/>
          <w:i/>
          <w:caps w:val="0"/>
          <w:smallCaps w:val="0"/>
          <w:strike w:val="0"/>
          <w:dstrike w:val="0"/>
          <w:sz w:val="16"/>
          <w:u w:val="none"/>
          <w:effect w:val="none"/>
        </w:rPr>
        <w:t>Entwurf: Ulrike Krezdorn</w:t>
      </w:r>
    </w:p>
    <w:p>
      <w:pPr>
        <w:pStyle w:val="Textkrper"/>
        <w:spacing w:before="0" w:after="283"/>
      </w:pPr>
      <w:r>
        <w:t> </w:t>
      </w:r>
    </w:p>
    <w:sectPr>
      <w:type w:val="nextPage"/>
      <w:pgSz w:w="16838" w:h="11906" w:orient="landscape"/>
      <w:pgMar w:top="850" w:right="850" w:bottom="850" w:left="850" w:header="0" w:footer="0" w:gutter="0"/>
      <w:pgNumType w:fmt="decimal"/>
      <w:cols w:num="2" w:sep="0" w:space="850" w:equalWidth="1"/>
      <w:formProt w:val="0"/>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Albany">
    <w:altName w:val="Arial"/>
    <w:charset w:val="00"/>
    <w:family w:val="swiss"/>
    <w:pitch w:val="variable"/>
  </w:font>
  <w:font w:name="Aller">
    <w:charset w:val="00"/>
    <w:family w:val="auto"/>
    <w:pitch w:val="default"/>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4"/>
        <w:szCs w:val="24"/>
        <w:lang w:val="de-DE"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Liberation Serif" w:eastAsia="SimSun" w:hAnsi="Liberation Serif" w:cs="Arial"/>
      <w:color w:val="auto"/>
      <w:sz w:val="24"/>
      <w:szCs w:val="24"/>
      <w:lang w:val="de-DE" w:eastAsia="zh-CN" w:bidi="hi-IN"/>
    </w:rPr>
  </w:style>
  <w:style w:type="character" w:default="1" w:styleId="DefaultParagraphFont">
    <w:name w:val="Default Paragraph Font"/>
    <w:uiPriority w:val="1"/>
    <w:semiHidden/>
    <w:unhideWhenUsed/>
  </w:style>
  <w:style w:type="paragraph" w:customStyle="1" w:styleId="berschrift1">
    <w:name w:val="Überschrift 1"/>
    <w:basedOn w:val="berschrift"/>
    <w:next w:val="Textkrper"/>
    <w:rPr>
      <w:rFonts w:ascii="Thorndale" w:hAnsi="Thorndale"/>
      <w:b/>
      <w:bCs/>
      <w:sz w:val="48"/>
      <w:szCs w:val="44"/>
    </w:rPr>
  </w:style>
  <w:style w:type="character" w:customStyle="1" w:styleId="Endnotenzeichen">
    <w:name w:val="Endnotenzeichen"/>
    <w:qFormat/>
  </w:style>
  <w:style w:type="character" w:customStyle="1" w:styleId="Funotenzeichen">
    <w:name w:val="Fußnotenzeichen"/>
    <w:qFormat/>
  </w:style>
  <w:style w:type="character" w:customStyle="1" w:styleId="Internetlink">
    <w:name w:val="Internetlink"/>
    <w:rPr>
      <w:color w:val="000080"/>
      <w:u w:val="single"/>
    </w:rPr>
  </w:style>
  <w:style w:type="paragraph" w:customStyle="1" w:styleId="HorizontaleLinie">
    <w:name w:val="Horizontale Linie"/>
    <w:basedOn w:val="Normal"/>
    <w:next w:val="Textkrper"/>
    <w:qFormat/>
    <w:pPr>
      <w:pBdr>
        <w:bottom w:val="double" w:sz="2" w:space="0" w:color="808080"/>
      </w:pBdr>
      <w:spacing w:before="0" w:after="283"/>
    </w:pPr>
    <w:rPr>
      <w:sz w:val="12"/>
    </w:rPr>
  </w:style>
  <w:style w:type="paragraph" w:customStyle="1" w:styleId="Absender">
    <w:name w:val="Absender"/>
    <w:basedOn w:val="Normal"/>
    <w:rPr>
      <w:i/>
    </w:rPr>
  </w:style>
  <w:style w:type="paragraph" w:customStyle="1" w:styleId="TabellenInhalt">
    <w:name w:val="Tabellen Inhalt"/>
    <w:basedOn w:val="Textkrper"/>
    <w:qFormat/>
  </w:style>
  <w:style w:type="paragraph" w:customStyle="1" w:styleId="Fuzeile">
    <w:name w:val="Fußzeile"/>
    <w:basedOn w:val="Normal"/>
    <w:pPr>
      <w:suppressLineNumbers/>
      <w:tabs>
        <w:tab w:val="center" w:pos="4818"/>
        <w:tab w:val="right" w:pos="9637"/>
      </w:tabs>
    </w:pPr>
  </w:style>
  <w:style w:type="paragraph" w:customStyle="1" w:styleId="Kopfzeile">
    <w:name w:val="Kopfzeile"/>
    <w:basedOn w:val="Normal"/>
    <w:pPr>
      <w:suppressLineNumbers/>
      <w:tabs>
        <w:tab w:val="center" w:pos="4818"/>
        <w:tab w:val="right" w:pos="9637"/>
      </w:tabs>
    </w:pPr>
  </w:style>
  <w:style w:type="paragraph" w:customStyle="1" w:styleId="Verzeichnis">
    <w:name w:val="Verzeichnis"/>
    <w:basedOn w:val="Normal"/>
    <w:qFormat/>
    <w:pPr>
      <w:suppressLineNumbers/>
    </w:pPr>
    <w:rPr>
      <w:rFonts w:cs="Arial"/>
    </w:rPr>
  </w:style>
  <w:style w:type="paragraph" w:customStyle="1" w:styleId="Beschriftung">
    <w:name w:val="Beschriftung"/>
    <w:basedOn w:val="Normal"/>
    <w:pPr>
      <w:suppressLineNumbers/>
      <w:spacing w:before="120" w:after="120"/>
    </w:pPr>
    <w:rPr>
      <w:rFonts w:cs="Arial"/>
      <w:i/>
      <w:iCs/>
      <w:sz w:val="24"/>
      <w:szCs w:val="24"/>
    </w:rPr>
  </w:style>
  <w:style w:type="paragraph" w:customStyle="1" w:styleId="Liste">
    <w:name w:val="Liste"/>
    <w:basedOn w:val="Textkrper"/>
    <w:rPr>
      <w:rFonts w:cs="Arial"/>
    </w:rPr>
  </w:style>
  <w:style w:type="paragraph" w:customStyle="1" w:styleId="Textkrper">
    <w:name w:val="Textkörper"/>
    <w:basedOn w:val="Normal"/>
    <w:pPr>
      <w:spacing w:before="0" w:after="0"/>
      <w:ind w:right="0" w:firstLine="0"/>
    </w:pPr>
  </w:style>
  <w:style w:type="paragraph" w:customStyle="1" w:styleId="berschrift">
    <w:name w:val="Überschrift"/>
    <w:basedOn w:val="Normal"/>
    <w:next w:val="Textkrper"/>
    <w:qFormat/>
    <w:pPr>
      <w:keepNext/>
      <w:spacing w:before="240" w:after="283"/>
    </w:pPr>
    <w:rPr>
      <w:rFonts w:ascii="Albany" w:hAnsi="Albany"/>
      <w:sz w:val="28"/>
      <w:szCs w:val="28"/>
    </w:rPr>
  </w:style>
  <w:style w:type="paragraph" w:customStyle="1" w:styleId="Tabellenberschrift">
    <w:name w:val="Tabellen Überschrift"/>
    <w:basedOn w:val="TabellenInhalt"/>
    <w:qFormat/>
    <w:pPr>
      <w:suppressLineNumbers/>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Noxum HTML Publisher Output</dc:title>
  <cp:revision>0</cp:revision>
  <dc:language>de-DE</dc:language>
</cp:coreProperties>
</file>