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pPr>
        <w:pStyle w:val="Textkrper"/>
        <w:spacing w:before="0" w:after="0"/>
        <w:ind w:left="0" w:right="0" w:firstLine="0"/>
        <w:jc w:val="left"/>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WORTGOTTESFEIER</w:t>
      </w:r>
    </w:p>
    <w:p>
      <w:pPr>
        <w:pStyle w:val="Textkrper"/>
        <w:spacing w:before="0" w:after="0"/>
        <w:ind w:left="0" w:right="0" w:firstLine="0"/>
        <w:jc w:val="left"/>
        <w:rPr>
          <w:rFonts w:ascii="Aller" w:hAnsi="Aller"/>
          <w:b/>
          <w:i w:val="0"/>
          <w:caps w:val="0"/>
          <w:smallCaps w:val="0"/>
          <w:strike w:val="0"/>
          <w:dstrike w:val="0"/>
          <w:sz w:val="52"/>
          <w:u w:val="none"/>
          <w:effect w:val="none"/>
        </w:rPr>
      </w:pPr>
      <w:r>
        <w:rPr>
          <w:rFonts w:ascii="Aller" w:hAnsi="Aller"/>
          <w:b/>
          <w:i w:val="0"/>
          <w:caps w:val="0"/>
          <w:smallCaps w:val="0"/>
          <w:strike w:val="0"/>
          <w:dstrike w:val="0"/>
          <w:sz w:val="52"/>
          <w:u w:val="none"/>
          <w:effect w:val="none"/>
        </w:rPr>
        <w:t>23. Sonntag im Jahreskreis</w:t>
      </w:r>
    </w:p>
    <w:p>
      <w:pPr>
        <w:pStyle w:val="Textkrper"/>
        <w:spacing w:before="0" w:after="0"/>
        <w:ind w:left="0" w:right="0" w:firstLine="0"/>
        <w:jc w:val="both"/>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 Lesejahr A \ ( 2026-23So-A )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i/>
          <w:caps w:val="0"/>
          <w:smallCaps w:val="0"/>
          <w:strike w:val="0"/>
          <w:dstrike w:val="0"/>
          <w:sz w:val="18"/>
          <w:u w:val="none"/>
          <w:effect w:val="none"/>
        </w:rPr>
      </w:pPr>
      <w:r>
        <w:rPr>
          <w:rFonts w:ascii="Aller" w:hAnsi="Aller"/>
          <w:b/>
          <w:i/>
          <w:caps w:val="0"/>
          <w:smallCaps w:val="0"/>
          <w:strike w:val="0"/>
          <w:dstrike w:val="0"/>
          <w:sz w:val="18"/>
          <w:u w:val="none"/>
          <w:effect w:val="none"/>
        </w:rPr>
        <w:t>Vorbemerkung</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In dieser Wortgottesfeier müssen beide Lesungen verkündet werden, da sich die Ansprache auf alle drei Bibeltexte bezieht.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Einzug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das Orgelvorspiel erklingt, ziehen Gottesdienstleiter/-in (G), Ministranten und Ministrantinnen (M), Lektoren und Lektorinnen (L), Kantor/-in (K) und – falls benötigt – Kommunionhelfer/-in (KH) in die Kirche ein, verneigen sich vor dem Altar (Kniebeuge nur, wenn der Tabernakel im Sichtfeld ist) und gehen zu ihren Plätzen; alle – auch die Gemeinde – stehen bis nach dem Eröffnungsgebet.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zur Eröffnung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Komm her, freu dich mit uns GL 148</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Kreuzzeichen – Liturgischer Gruß</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eröffnet den Gottesdienst mit dem Kreuzzeichen, spricht die Einführung und betet Christusrufe und Eröffnungsgebet vor (nur wenn bei den Sitzen kein Mikrofon ist, spricht er/sie vom Ambo aus).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Namen des Vaters und des Sohnes und des Heiligen Geistes.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hat uns zusammengerufen. Ihm sei Ehre in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Liebe Gemeinde,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Zusammenleben in unseren Familien, im Freundeskreis und in der Gemeinde fordert immer wieder unsere besten Kräfte. Und erleidet immer wieder Schaden dadurch, dass wir aneinander schuldig werden. Diese Erfahrung ist alt. Niemand hat bis jetzt eine einfache Lösung gefunden. Heute hören wir im Evangelium, was Jesus dazu sagt.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Bitten wir Gott um seinen Geist und sein Erbarmen, damit wir Jesu Botschaft hören und uns zu Herzen gehen lassen.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Kurze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Christusrufe – Kyrie-Litanei</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 und die Gemeinde singen im Wechsel;</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alternativ im Wechsel von G und Gemeinde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in seinem Wort uns hält GL 164</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Eröffnungsgebet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 und hält eine kurze Stille.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die Gemeinde sammeln sich zum Gebet, dann spricht 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unser Vater,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dein Sohn Jesus Christus hat deine Liebe zu uns sichtbar gemacht.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willst, dass wir aus dieser Liebe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Hilf uns dabei.</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Sei jetzt wirkend in unserer Mitte.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Nimm alles weg, was uns hindert, aufmerksam und gegenwärtig zu sein.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Schenke uns Offenheit und ein hörendes Herz für dein Wort des Lebens.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Darum bitten wir durch ihn, deinen Sohn, unseren Bruder und Herrn,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mit dir lebt und Leben spendet in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erste Lesung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Einführungen werden von L1 vom Platz und die Lesungen von L2 vom Ambo aus vorgetragen. Die Gemeinde setzt sich.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hören eine strenge Mahnung Gottes, die er an den Propheten richtet. Die drastischen Worte sind dem Ernst des Themas geschuldet.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Erste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Lesung aus dem Buch Ezéchiel.</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Ez 33,7-9 (Schott-Messbuch für die Sonn- und Festtage des Lesejahres A, Seite 573). 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Antwortgesang – Psalm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Kehrvers wird von K gesungen, die Gemeinde wiederholt ihn. K liest oder singt die Psalmverse (GL 53,2 oder Schott-Messbuch für Sonn- und Festtage des Lesejahres A, Seite 573f.) vom Ambo aus vor. Dazwischen bzw. am Ende wiederholt die Gemeinde den Kehrvers.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Hört auf die Stimme des Herrn GL 53,1</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Verse aus dem Psalm 95 GL 53,2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Hört auf die Stimme des Herrn GL 53,1</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Paulus schreibt der Gemeinde in Rom. Er bündelt die vielen Anweisungen für das Zusammenleben in drei kurzen Sätzen.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Lesung aus dem Brief des Apostels Paulus an die Gemeinde in Rom.</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Röm 13,8-10 (Schott-Messbuch für die Sonn- und Festtage des Lesejahres A,</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Seite 574). 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Ruf vor dem 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auf. K singt das Halleluja, die Gemeinde wiederholt es.</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Anschließend singt oder liest K den Vers. Am Ende wiederholt die Gemeinde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das Halleluja.</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GL 174,3</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hat in Christus die Welt mit sich versöhnt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uns das Wort von der Versöhnung anvertraut.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GL 174,3</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Wiederholung des Hallelujarufes geht G zum Altar und verneigt sich, nimmt das Evangelienbuch vom Altar und trägt es zum Ambo; zwei M mit brennenden Kerzen begleiten G. G breitet die Arme aus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Aus dem Heiligen Evangelium nach Matthäus.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 auf Buch, Stirn, Mund und Brust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Ehre sei dir, o Herr.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Mt 18,15-20 (Schott-Messbuch für die Sonn- und Festtage des Lesejahres A,</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Seite 575f.). Der Vortrag des Evangeliums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Evangelium unseres Herrn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Lob sei dir, Christus.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Hallelujaruf kann an dieser Stelle wiederholt werden.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setzt sich, die M stellen die Leuchter wieder an den Altar.</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Auslegung und Deutung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Liebe Gemeinde,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das waren jetzt drei wuchtige Texte.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Fangen wir mit den Worten Gottes an den Propheten Ezéchiel an. Die undankbare Aufgabe der Gottesboten im alten Israel war das Überbringen schwieriger Botschaften. Aufrütteln, Umkehr einfordern, Fehler und Sünden benennen. Nichts, womit man sich beliebt macht. Da ist es mehr als verständlich, wenn so ein Prophet auch mal schweigt, obwohl er einen eindeutigen Auftrag hat.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Gott macht klar, dass Schweigen keine Option ist. Der Prophet hat eine große Verantwortung. Er muss Gottes Botschaft unter die Leute bringen. Sie brauchen Gottes Wort als Chance. Ob die Menschen ihr Verhalten ändern, ob sie die Botschaft annehmen, das liegt nicht in der Macht des Propheten. Das ist auch nicht seine Verantwortung.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Warum ist Gott das so wichtig? Warum übt er so viel Druck aus auf seinen Propheten?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Weil die Gemeinschaft ohne Gottes Wort, ohne diese Richtschnur, ohne die Chance zur Umkehr nicht zurechtkommt. Sie nimmt Schaden durch das Verhalten Einzelner oder sogar durch das Verhalten Vieler.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diesen Schaden, der entsteht, wenn das Notwendige nicht gesagt wird, den hat auch Jesus im Blick. Er will eine gute Entwicklung fördern, wenn er im Evangelium darüber spricht, wie wir miteinander umgehen sollen, wenn jemand schuldig wird.</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Sobald Schuld ins Spiel kommt, wird es kompliziert. Was ist denn überhaupt Schuld? Wer hat das Recht, zu beurteilen, ob ein Verhalten wirklich schuldhaft ist oder vielleicht doch nur eine Kleinigkeit? Solche Fragen können unangenehme Erinnerungen wecken an Zeiten, als es einen rigiden Verhaltenskodex gab und jede Abweichung reglementiert wurde. Schütteln wir diese Erinnerungen gleich wieder ab, denn darum geht es hier nicht.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Jesus sagt: Wenn dein Bruder gegen dich sündigt, dann rede unter vier Augen mit ihm. Es geht also nicht um Lappalien, sondern um Fehlverhalten. Und der, der unter diesem Verhalten leidet, hat nicht nur das Recht, etwas zu tun, er soll es sogar unbedingt tun!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Dieser Punkt wird gerne übersehen. Angesichts der Sünde spricht Jesus nicht davon, dass man doch großzügig und barmherzig sein sollte, die Sünde mit dem Mantel des Schweigens zudecken und überlegen könnte, ob man überhaupt über diese unangenehme Sache reden soll. Jesus sagt nicht: du könntest ... oder: Überlege mal, ob du nicht vielleicht ..., sondern: Geh und weise ihn zurecht.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Das ist alles andere als einfach. Und es ist gleichzeitig genau richtig.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Was wir hingegen gerne machen, ist: über andere zu reden. Dass der und der das und das gesagt oder getan hat. Und dann echauffieren wir uns.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Sich so zu verhalten, ist zerstörerisch.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Nein, als erstes soll ich unter vier Augen mit dem reden, der mir Schaden zugefügt hat.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erfordert ganz schön viel Mut. Und bietet die Chance auf eine Klärung. Denn ich werde gezwungen, die Situation mit den Augen des Anderen anzuschauen, und genauso muss der Andere sich anhören, was sein Verhalten bei mir angerichtet hat.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w:t>
      </w:r>
      <w:r>
        <w:rPr>
          <w:rFonts w:ascii="Aller" w:hAnsi="Aller"/>
          <w:b w:val="0"/>
          <w:i w:val="0"/>
          <w:caps w:val="0"/>
          <w:smallCaps w:val="0"/>
          <w:strike w:val="0"/>
          <w:dstrike w:val="0"/>
          <w:sz w:val="22"/>
          <w:u w:val="none"/>
          <w:effect w:val="none"/>
        </w:rPr>
        <w:t>Das funktioniert doch nicht, der hört mir doch niemals zu“, so oder ähnlich ist vielleicht unsere Erfahrung. Jesus scheint das genau zu wissen. Denn er sagt: Scheitert das Vier-Augen-Gespräch tatsächlich, dann soll ein Versuch im kleinen Kreis gemacht werden.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eskaliert das Ganze schließlich in die Gemeinde. Als letzte Konsequenz steht die Trennung im Raum. Und da kommt wieder die Verantwortung ins Spiel, wie beim Propheten Ezéchiel: Die Leitung der Gemeinde darf jemanden ausschließen. Aber es geht dabei nicht um Macht, sondern um Verantwortung, sehr große Verantwortung. Damit die Leiter der Gemeinden nicht vor ihr zurückschrecken, sagt Jesus ihnen zu, dass die Versammlung immer mit seiner Gegenwart rechnen darf, und dass er die Seinen niemals alleine lässt.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Ja, gut, aber geht es nicht auch anders? Großzügig zudecken, barmherzig sein, niemanden verurteilen? Das sollen wir doch üben!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Dagegen steht: Wer Sünde, also schwerwiegendes Fehlverhalten, duldet, schadet der Gemeinschaft, und enthält dem Sünder die Chance zur Umkehr vor. Obendrein vertut man die Chance, im Gespräch und in der Bewältigung der verletzenden Situation innerlich zu wachsen und in seiner Persönlichkeit zu reifen.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Es geht immer darum, der Liebe Raum zu geben und sie zu fördern. Denken wir an Paulus: Die Liebe tut dem Nächsten nichts Böses. Und das sollen wir immer vor Augen haben.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Nach der Auslegung geht G zurück zum Platz und setzt sich. Nach einer </w:t>
      </w:r>
      <w:r>
        <w:rPr>
          <w:rFonts w:ascii="Aller" w:hAnsi="Aller"/>
          <w:b/>
          <w:i/>
          <w:caps w:val="0"/>
          <w:smallCaps w:val="0"/>
          <w:strike w:val="0"/>
          <w:dstrike w:val="0"/>
          <w:sz w:val="18"/>
          <w:u w:val="none"/>
          <w:effect w:val="none"/>
        </w:rPr>
        <w:t>angemessenen Zeit der Stille</w:t>
      </w:r>
      <w:r>
        <w:rPr>
          <w:rFonts w:ascii="Aller" w:hAnsi="Aller"/>
          <w:b w:val="0"/>
          <w:i/>
          <w:caps w:val="0"/>
          <w:smallCaps w:val="0"/>
          <w:strike w:val="0"/>
          <w:dstrike w:val="0"/>
          <w:sz w:val="18"/>
          <w:u w:val="none"/>
          <w:effect w:val="none"/>
        </w:rPr>
        <w:t xml:space="preserve"> stehen alle zur Antwort der Gemeinde auf.</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 der Gemeinde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Geben wir Gottes Wort unsere Antwort im Lied und im Glaubensbekenntnis.</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Predigtlied</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Unser Umgang miteinander ist eine lebenslange Aufgabe. Und Gott ist mittendrin. Lasst uns davon singen.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Suchen und fragen GL 457</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Glaubensbekenntnis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Bekennen wir unseren Glauben.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Ich glaube an Gott GL 3,4</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Friedenszeichen und Kollekte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Friede ist die Grundlage für ein gutes Zusammenleben und zugleich der intensive Wunsch Jesu für seine Jünger und für uns. „Friede sei mit euch“. Diesen Frieden wollen wir einander weitergeben.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reichen einander die Hände und geben den Friedensgruß. G geht durch die Reihen und gibt ebenfalls den Frieden des Herrn weiter.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Unser Glaube stellt uns in die große Gemeinschaft der Christenheit. Wir nehmen Anteil an den Sorgen und Freuden unserer Schwestern und Brüder. Unsere Kollekte ist heute bestimmt für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gibt den Zweck der Kollekte bekannt, die M sammeln die Kollekte ein.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Dazu spielt der Organist/die Organistin die Orgel.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Lobpreis und Hymnus</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Wort-Gottes-Feier. Werkbuch für Sonn- und Festtage, Trier 2004, Seite 180; Kehrvers: Lobet den Herrn, preist seine Huld und Treue, GL 401; Hymnus: Seite 57f. oder Lied.</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Lobpreis und Dank für Gottes Wirken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Hymnus: Lob, Ehr und Preis sei Gott GL 405,3</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Fürbitten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G spricht die Einleitung und den Schluss zu den Fürbitten. L trägt die Bitten vor.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antwortet mit dem Liedruf: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Christus verspricht, unter uns zu sein, wo immer wir uns versammeln. Im Vertrauen auf seine Gegenwart bitten wir: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Schenke uns Weisheit und Mut, wenn wir miteinander reden. Lass uns gute Zuhörer und ehrliche Gesprächspartner sein, damit wir der Liebe untereinander dienen. –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Sende deinen Geist zu denen, die deine Propheten sein sollen. Gib allen, die Verantwortung tragen, ein hörendes Herz und kluge Gedanken.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Sei bei denen, die schwere Lasten tragen, sichtbare und unsichtbare. Lass uns miteinander tragen, was für den Einzelnen zu schwer ist.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Sei nicht fern, wo Gewalt herrscht, bei uns und in den Krisen und Kriegen der Welt. Du bist der Grund unserer Hoffnung, wir rufen zu dir.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Schenke unseren Verstorbenen die ewige Gemeinschaft mit dir in deinem Reich.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erhöre uns. GL 181,2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Den folgenden Abschluss der Fürbitten betet G nur, wenn eine Kommunionfeier folgt. Findet </w:t>
      </w:r>
      <w:r>
        <w:rPr>
          <w:rFonts w:ascii="Aller" w:hAnsi="Aller"/>
          <w:b/>
          <w:i/>
          <w:caps w:val="0"/>
          <w:smallCaps w:val="0"/>
          <w:strike w:val="0"/>
          <w:dstrike w:val="0"/>
          <w:sz w:val="18"/>
          <w:u w:val="none"/>
          <w:effect w:val="none"/>
        </w:rPr>
        <w:t>keine Kommunionfeier</w:t>
      </w:r>
      <w:r>
        <w:rPr>
          <w:rFonts w:ascii="Aller" w:hAnsi="Aller"/>
          <w:b w:val="0"/>
          <w:i/>
          <w:caps w:val="0"/>
          <w:smallCaps w:val="0"/>
          <w:strike w:val="0"/>
          <w:dstrike w:val="0"/>
          <w:sz w:val="18"/>
          <w:u w:val="none"/>
          <w:effect w:val="none"/>
        </w:rPr>
        <w:t xml:space="preserve"> statt, schließt sich an die letzte Fürbitte das Vaterunser an. Es kann mit folgendem Satz übergeleitet werden:</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Dank und Bitte münden in das Gebet des Herrn: Vater unser...</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Danach folgen direkt das Danklied, die Vermeldungen, Segensbitte und Segen, Entlassung und evtl. Lied zum Auszug.</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bist unsere Hoffnung und unsere Stärke. Auf dich setzen wir unser Vertrauen und preisen dich, heute und in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Übertragung des Allerheiligsten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Wird aus pastoralen Gründen die Wortgottesfeier mit einer Kommunionspendung verbunden, wird wie vorgeschlagen vorgegangen. Der Zusammenhang zwischen Wortgottesdienst und Kommunionfeier wird durch die feierliche Übertragung des Allerheiligsten vom Tabernakel zum Altar deutlich gemacht. G spricht zuvor: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hat uns seine Gegenwart im Wort geschenkt. Jetzt dürfen wir ihn im eucharistischen Brot empfangen. Das eucharistische Brot, das uns jetzt geschenkt wird, verbindet uns mit der Eucharistiefeier*, die wir am vergangenen Sonntag (in der vergangenen Woche, im vergangenen Monat, am Fest …) hier zuletzt gefeiert haben.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die heute in unserer Nachbargemeinde gefeiert wurde.)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G geht mit KH und zwei M, die brennende Leuchter tragen, zum Tabernakel, öffnet diesen und macht eine Kniebeuge, nimmt die Hostienschale aus dem Tabernakel und stellt sie in der Mitte des Altares ab. Danach machen G, KH und M eine Kniebeuge hinter dem Altar. Währenddessen singt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stille Anbetung und Vaterunser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O Jesu, all mein Leben bist du GL 377</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knien eine angemessene Zeit in stillem 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Zum Vaterunser stehen alle auf.</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Beten wir gemeinsam, wie Christus selbst uns zu beten gelehrt hat: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Vater unser im Himmel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Einladung zur Kommunion – Kommunion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tritt an den Altar, macht eine Kniebeuge, nimmt die Hostienschale, wendet sich der Gemeinde zu, hält eine Hostie in die Höhe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Seht das Brot des Lebens, Christus, Gottes Lamm.</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ich bin nicht würdig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KH teilen die Kommunion aus. Sie zeigen allen, die die Kommunion empfangen, die Hostie mit den Worten: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Leib Christi.</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Kommunionausteilung erklingt Orgelmusik. Danach wird die Hostienschale in den Tabernakel zurückgestellt. Nach einer kurzen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Danklied und Dankgebet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Singt dem Herrn ein neues Lied GL 409</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stehen auf. G spricht das Dankgebet vom Platz aus. 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Nach einer kurzen Stille breitet G die Arme aus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unser Vater,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hast uns mit deinem Wort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dem Brot des Lebens beschenkt und gestärkt.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willst unter uns sein. Wir vertrauen auf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 deinen Geist unter uns lebendig sein,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uns Kraft und Zuversicht gibt für heute und alle Tage unseres Lebens.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Darum bitten wir durch deinen Sohn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mit dir und dem Heiligen Geist lebt und Leben spendet in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Vermeldungen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An dieser Stelle ist Raum für Vermeldungen an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Segensbitte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Gspricht vom Platz aus den Segen. G leitet ein: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Bitten wir Gott um seinen Segen.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der Vater, wohne in unseren Herzen.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Jesus Christus sei als Freund und Bruder an unserer Seite.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Heilige Geist begabe uns mit seiner Kraft.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So segne uns der dreieinige Gott,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Vater und der Sohn und der Heilige Geist.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Entlassung, Lied und Auszug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Singet Lob und Preis.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 dem Herrn.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Wenn wir das Leben teilen GL 474</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die einen liturgischen Dienst wahrgenommen haben, gehen vor den Altar, machen gemeinsam eine Verneigung (Kniebeuge, wenn Tabernakel in Blickrichtung) und gehen in die Sakristei. Der Organist/die Organistin spielt ein Nachspiel.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left"/>
        <w:rPr>
          <w:rFonts w:ascii="Aller" w:hAnsi="Aller"/>
          <w:b w:val="0"/>
          <w:i/>
          <w:caps w:val="0"/>
          <w:smallCaps w:val="0"/>
          <w:strike w:val="0"/>
          <w:dstrike w:val="0"/>
          <w:sz w:val="16"/>
          <w:u w:val="none"/>
          <w:effect w:val="none"/>
        </w:rPr>
      </w:pPr>
      <w:r>
        <w:rPr>
          <w:rFonts w:ascii="Aller" w:hAnsi="Aller"/>
          <w:b w:val="0"/>
          <w:i/>
          <w:caps w:val="0"/>
          <w:smallCaps w:val="0"/>
          <w:strike w:val="0"/>
          <w:dstrike w:val="0"/>
          <w:sz w:val="16"/>
          <w:u w:val="none"/>
          <w:effect w:val="none"/>
        </w:rPr>
        <w:t>Entwurf: Carmen Rothermel</w:t>
      </w:r>
    </w:p>
    <w:p>
      <w:pPr>
        <w:pStyle w:val="Textkrper"/>
        <w:spacing w:before="0" w:after="283"/>
      </w:pPr>
      <w:r>
        <w:t> </w:t>
      </w:r>
    </w:p>
    <w:sectPr>
      <w:type w:val="nextPage"/>
      <w:pgSz w:w="16838" w:h="11906" w:orient="landscape"/>
      <w:pgMar w:top="850" w:right="850" w:bottom="850" w:left="850" w:header="0" w:footer="0" w:gutter="0"/>
      <w:pgNumType w:fmt="decimal"/>
      <w:cols w:num="2" w:sep="0" w:space="850" w:equalWidth="1"/>
      <w:formProt w:val="0"/>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Albany">
    <w:altName w:val="Arial"/>
    <w:charset w:val="00"/>
    <w:family w:val="swiss"/>
    <w:pitch w:val="variable"/>
  </w:font>
  <w:font w:name="Aller">
    <w:charset w:val="00"/>
    <w:family w:val="auto"/>
    <w:pitch w:val="default"/>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4"/>
        <w:szCs w:val="24"/>
        <w:lang w:val="de-D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SimSun" w:hAnsi="Liberation Serif" w:cs="Arial"/>
      <w:color w:val="auto"/>
      <w:sz w:val="24"/>
      <w:szCs w:val="24"/>
      <w:lang w:val="de-DE" w:eastAsia="zh-CN" w:bidi="hi-IN"/>
    </w:rPr>
  </w:style>
  <w:style w:type="character" w:default="1" w:styleId="DefaultParagraphFont">
    <w:name w:val="Default Paragraph Font"/>
    <w:uiPriority w:val="1"/>
    <w:semiHidden/>
    <w:unhideWhenUsed/>
  </w:style>
  <w:style w:type="paragraph" w:customStyle="1" w:styleId="berschrift1">
    <w:name w:val="Überschrift 1"/>
    <w:basedOn w:val="berschrift"/>
    <w:next w:val="Textkrper"/>
    <w:rPr>
      <w:rFonts w:ascii="Thorndale" w:hAnsi="Thorndale"/>
      <w:b/>
      <w:bCs/>
      <w:sz w:val="48"/>
      <w:szCs w:val="44"/>
    </w:rPr>
  </w:style>
  <w:style w:type="character" w:customStyle="1" w:styleId="Endnotenzeichen">
    <w:name w:val="Endnotenzeichen"/>
    <w:qFormat/>
  </w:style>
  <w:style w:type="character" w:customStyle="1" w:styleId="Funotenzeichen">
    <w:name w:val="Fußnotenzeichen"/>
    <w:qFormat/>
  </w:style>
  <w:style w:type="character" w:customStyle="1" w:styleId="Internetlink">
    <w:name w:val="Internetlink"/>
    <w:rPr>
      <w:color w:val="000080"/>
      <w:u w:val="single"/>
    </w:rPr>
  </w:style>
  <w:style w:type="paragraph" w:customStyle="1" w:styleId="HorizontaleLinie">
    <w:name w:val="Horizontale Linie"/>
    <w:basedOn w:val="Normal"/>
    <w:next w:val="Textkrper"/>
    <w:qFormat/>
    <w:pPr>
      <w:pBdr>
        <w:bottom w:val="double" w:sz="2" w:space="0" w:color="808080"/>
      </w:pBdr>
      <w:spacing w:before="0" w:after="283"/>
    </w:pPr>
    <w:rPr>
      <w:sz w:val="12"/>
    </w:rPr>
  </w:style>
  <w:style w:type="paragraph" w:customStyle="1" w:styleId="Absender">
    <w:name w:val="Absender"/>
    <w:basedOn w:val="Normal"/>
    <w:rPr>
      <w:i/>
    </w:rPr>
  </w:style>
  <w:style w:type="paragraph" w:customStyle="1" w:styleId="TabellenInhalt">
    <w:name w:val="Tabellen Inhalt"/>
    <w:basedOn w:val="Textkrper"/>
    <w:qFormat/>
  </w:style>
  <w:style w:type="paragraph" w:customStyle="1" w:styleId="Fuzeile">
    <w:name w:val="Fußzeile"/>
    <w:basedOn w:val="Normal"/>
    <w:pPr>
      <w:suppressLineNumbers/>
      <w:tabs>
        <w:tab w:val="center" w:pos="4818"/>
        <w:tab w:val="right" w:pos="9637"/>
      </w:tabs>
    </w:pPr>
  </w:style>
  <w:style w:type="paragraph" w:customStyle="1" w:styleId="Kopfzeile">
    <w:name w:val="Kopfzeile"/>
    <w:basedOn w:val="Normal"/>
    <w:pPr>
      <w:suppressLineNumbers/>
      <w:tabs>
        <w:tab w:val="center" w:pos="4818"/>
        <w:tab w:val="right" w:pos="9637"/>
      </w:tabs>
    </w:pPr>
  </w:style>
  <w:style w:type="paragraph" w:customStyle="1" w:styleId="Verzeichnis">
    <w:name w:val="Verzeichnis"/>
    <w:basedOn w:val="Normal"/>
    <w:qFormat/>
    <w:pPr>
      <w:suppressLineNumbers/>
    </w:pPr>
    <w:rPr>
      <w:rFonts w:cs="Arial"/>
    </w:rPr>
  </w:style>
  <w:style w:type="paragraph" w:customStyle="1" w:styleId="Beschriftung">
    <w:name w:val="Beschriftung"/>
    <w:basedOn w:val="Normal"/>
    <w:pPr>
      <w:suppressLineNumbers/>
      <w:spacing w:before="120" w:after="120"/>
    </w:pPr>
    <w:rPr>
      <w:rFonts w:cs="Arial"/>
      <w:i/>
      <w:iCs/>
      <w:sz w:val="24"/>
      <w:szCs w:val="24"/>
    </w:rPr>
  </w:style>
  <w:style w:type="paragraph" w:customStyle="1" w:styleId="Liste">
    <w:name w:val="Liste"/>
    <w:basedOn w:val="Textkrper"/>
    <w:rPr>
      <w:rFonts w:cs="Arial"/>
    </w:rPr>
  </w:style>
  <w:style w:type="paragraph" w:customStyle="1" w:styleId="Textkrper">
    <w:name w:val="Textkörper"/>
    <w:basedOn w:val="Normal"/>
    <w:pPr>
      <w:spacing w:before="0" w:after="0"/>
      <w:ind w:right="0" w:firstLine="0"/>
    </w:pPr>
  </w:style>
  <w:style w:type="paragraph" w:customStyle="1" w:styleId="berschrift">
    <w:name w:val="Überschrift"/>
    <w:basedOn w:val="Normal"/>
    <w:next w:val="Textkrper"/>
    <w:qFormat/>
    <w:pPr>
      <w:keepNext/>
      <w:spacing w:before="240" w:after="283"/>
    </w:pPr>
    <w:rPr>
      <w:rFonts w:ascii="Albany" w:hAnsi="Albany"/>
      <w:sz w:val="28"/>
      <w:szCs w:val="28"/>
    </w:rPr>
  </w:style>
  <w:style w:type="paragraph" w:customStyle="1" w:styleId="Tabellenberschrift">
    <w:name w:val="Tabellen Überschrift"/>
    <w:basedOn w:val="TabellenInhalt"/>
    <w:qFormat/>
    <w:pPr>
      <w:suppressLineNumbers/>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Noxum HTML Publisher Output</dc:title>
  <cp:revision>0</cp:revision>
  <dc:language>de-DE</dc:language>
</cp:coreProperties>
</file>